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60" w:lineRule="exact"/>
        <w:jc w:val="center"/>
        <w:textAlignment w:val="auto"/>
        <w:rPr>
          <w:rFonts w:ascii="方正小标宋简体" w:hAnsi="方正小标宋简体" w:eastAsia="方正小标宋简体" w:cs="Times New Roman"/>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14:textFill>
            <w14:solidFill>
              <w14:schemeClr w14:val="tx1"/>
            </w14:solidFill>
          </w14:textFill>
        </w:rPr>
        <w:t>三明市市场监督管理局</w:t>
      </w:r>
    </w:p>
    <w:p>
      <w:pPr>
        <w:keepNext w:val="0"/>
        <w:keepLines w:val="0"/>
        <w:pageBreakBefore w:val="0"/>
        <w:widowControl w:val="0"/>
        <w:kinsoku/>
        <w:wordWrap/>
        <w:overflowPunct/>
        <w:topLinePunct w:val="0"/>
        <w:bidi w:val="0"/>
        <w:snapToGrid/>
        <w:spacing w:line="560" w:lineRule="exact"/>
        <w:jc w:val="center"/>
        <w:textAlignment w:val="auto"/>
        <w:rPr>
          <w:rFonts w:ascii="方正小标宋简体" w:hAnsi="方正小标宋简体" w:eastAsia="方正小标宋简体" w:cs="Times New Roman"/>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14:textFill>
            <w14:solidFill>
              <w14:schemeClr w14:val="tx1"/>
            </w14:solidFill>
          </w14:textFill>
        </w:rPr>
        <w:t>撤销行政许可告知书</w:t>
      </w:r>
    </w:p>
    <w:p>
      <w:pPr>
        <w:keepNext w:val="0"/>
        <w:keepLines w:val="0"/>
        <w:pageBreakBefore w:val="0"/>
        <w:widowControl w:val="0"/>
        <w:kinsoku/>
        <w:wordWrap/>
        <w:overflowPunct/>
        <w:topLinePunct w:val="0"/>
        <w:autoSpaceDE w:val="0"/>
        <w:autoSpaceDN w:val="0"/>
        <w:bidi w:val="0"/>
        <w:snapToGrid/>
        <w:spacing w:line="560" w:lineRule="exact"/>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明市监撤告字</w:t>
      </w:r>
      <w:r>
        <w:rPr>
          <w:rFonts w:hint="eastAsia" w:ascii="楷体_GB2312" w:hAnsi="楷体_GB2312" w:eastAsia="楷体_GB2312" w:cs="楷体_GB2312"/>
          <w:color w:val="auto"/>
          <w:sz w:val="32"/>
          <w:szCs w:val="32"/>
          <w:lang w:val="en-US" w:eastAsia="zh-CN"/>
        </w:rPr>
        <w:t>〔2026〕6-1</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32"/>
          <w:szCs w:val="32"/>
          <w14:textFill>
            <w14:solidFill>
              <w14:schemeClr w14:val="tx1"/>
            </w14:solidFill>
          </w14:textFill>
        </w:rPr>
        <w:t>号</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bidi w:val="0"/>
        <w:snapToGrid/>
        <w:spacing w:line="560" w:lineRule="exact"/>
        <w:textAlignment w:val="auto"/>
        <w:rPr>
          <w:rFonts w:ascii="仿宋_GB2312" w:eastAsia="仿宋_GB2312" w:cs="Times New Roman"/>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lang w:val="en-US" w:eastAsia="zh-CN"/>
        </w:rPr>
        <w:t>福建港群产业投资有限公司</w:t>
      </w:r>
      <w:r>
        <w:rPr>
          <w:rFonts w:hint="eastAsia" w:asci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由本局立案调查的</w:t>
      </w:r>
      <w:r>
        <w:rPr>
          <w:rFonts w:hint="eastAsia" w:ascii="仿宋_GB2312" w:hAnsi="仿宋_GB2312" w:eastAsia="仿宋_GB2312" w:cs="仿宋_GB2312"/>
          <w:color w:val="000000"/>
          <w:sz w:val="32"/>
          <w:szCs w:val="32"/>
          <w:lang w:val="en-US" w:eastAsia="zh-CN"/>
        </w:rPr>
        <w:t>你单位涉嫌提交虚假材料冒名登记</w:t>
      </w:r>
      <w:r>
        <w:rPr>
          <w:rFonts w:hint="eastAsia" w:ascii="仿宋_GB2312" w:eastAsia="仿宋_GB2312" w:cs="仿宋_GB2312"/>
          <w:color w:val="000000" w:themeColor="text1"/>
          <w:sz w:val="32"/>
          <w:szCs w:val="32"/>
          <w14:textFill>
            <w14:solidFill>
              <w14:schemeClr w14:val="tx1"/>
            </w14:solidFill>
          </w14:textFill>
        </w:rPr>
        <w:t>一案，已调查终结。依据</w:t>
      </w:r>
      <w:r>
        <w:rPr>
          <w:rFonts w:hint="eastAsia" w:ascii="仿宋_GB2312" w:eastAsia="仿宋_GB2312" w:cs="仿宋_GB2312"/>
          <w:color w:val="000000" w:themeColor="text1"/>
          <w:sz w:val="32"/>
          <w:szCs w:val="32"/>
          <w:lang w:val="zh-CN"/>
          <w14:textFill>
            <w14:solidFill>
              <w14:schemeClr w14:val="tx1"/>
            </w14:solidFill>
          </w14:textFill>
        </w:rPr>
        <w:t>《</w:t>
      </w:r>
      <w:r>
        <w:rPr>
          <w:rFonts w:hint="eastAsia" w:ascii="仿宋_GB2312" w:eastAsia="仿宋_GB2312" w:cs="仿宋_GB2312"/>
          <w:sz w:val="32"/>
          <w:szCs w:val="32"/>
          <w:lang w:val="zh-CN"/>
        </w:rPr>
        <w:t>中华人民共和国行政许可法</w:t>
      </w:r>
      <w:r>
        <w:rPr>
          <w:rFonts w:hint="eastAsia" w:ascii="仿宋_GB2312" w:eastAsia="仿宋_GB2312" w:cs="仿宋_GB2312"/>
          <w:color w:val="000000" w:themeColor="text1"/>
          <w:sz w:val="32"/>
          <w:szCs w:val="32"/>
          <w:lang w:val="zh-CN"/>
          <w14:textFill>
            <w14:solidFill>
              <w14:schemeClr w14:val="tx1"/>
            </w14:solidFill>
          </w14:textFill>
        </w:rPr>
        <w:t>》</w:t>
      </w:r>
      <w:r>
        <w:rPr>
          <w:rFonts w:hint="eastAsia" w:ascii="仿宋_GB2312" w:eastAsia="仿宋_GB2312" w:cs="仿宋_GB2312"/>
          <w:color w:val="000000" w:themeColor="text1"/>
          <w:sz w:val="32"/>
          <w:szCs w:val="32"/>
          <w14:textFill>
            <w14:solidFill>
              <w14:schemeClr w14:val="tx1"/>
            </w14:solidFill>
          </w14:textFill>
        </w:rPr>
        <w:t>《中华人民共和国市场主体登记管理条例》</w:t>
      </w:r>
      <w:r>
        <w:rPr>
          <w:rFonts w:hint="eastAsia" w:ascii="仿宋_GB2312" w:eastAsia="仿宋_GB2312" w:cs="仿宋_GB2312"/>
          <w:color w:val="000000" w:themeColor="text1"/>
          <w:sz w:val="32"/>
          <w:szCs w:val="32"/>
          <w:lang w:val="zh-CN"/>
          <w14:textFill>
            <w14:solidFill>
              <w14:schemeClr w14:val="tx1"/>
            </w14:solidFill>
          </w14:textFill>
        </w:rPr>
        <w:t>《防范和查处假冒企业登记违法行为规定》《市场监督管理行政许可程序暂行规定》</w:t>
      </w:r>
      <w:r>
        <w:rPr>
          <w:rFonts w:hint="eastAsia" w:ascii="仿宋_GB2312" w:eastAsia="仿宋_GB2312" w:cs="仿宋_GB2312"/>
          <w:color w:val="000000" w:themeColor="text1"/>
          <w:sz w:val="32"/>
          <w:szCs w:val="32"/>
          <w14:textFill>
            <w14:solidFill>
              <w14:schemeClr w14:val="tx1"/>
            </w14:solidFill>
          </w14:textFill>
        </w:rPr>
        <w:t>等规定，现将本局拟作出撤销行政许可的内容及事实、理由、依据告知如下：</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auto"/>
          <w:kern w:val="0"/>
          <w:sz w:val="32"/>
          <w:szCs w:val="32"/>
          <w:lang w:val="en-US" w:eastAsia="zh-CN"/>
        </w:rPr>
        <w:t>2026年3月16日</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eastAsia="zh-CN"/>
        </w:rPr>
        <w:t>北京纳通实创投资管理有限公司</w:t>
      </w:r>
      <w:r>
        <w:rPr>
          <w:rFonts w:hint="eastAsia" w:ascii="仿宋_GB2312" w:hAnsi="仿宋_GB2312" w:eastAsia="仿宋_GB2312" w:cs="仿宋_GB2312"/>
          <w:color w:val="000000"/>
          <w:sz w:val="32"/>
          <w:szCs w:val="32"/>
          <w:lang w:eastAsia="zh-CN"/>
        </w:rPr>
        <w:t>向我局书面</w:t>
      </w:r>
      <w:r>
        <w:rPr>
          <w:rFonts w:hint="eastAsia" w:ascii="仿宋_GB2312" w:hAnsi="仿宋_GB2312" w:eastAsia="仿宋_GB2312" w:cs="仿宋_GB2312"/>
          <w:color w:val="000000"/>
          <w:sz w:val="32"/>
          <w:szCs w:val="32"/>
          <w:lang w:val="en-US" w:eastAsia="zh-CN"/>
        </w:rPr>
        <w:t>举报其身份被冒用登记为福建港群产业投资有限公司唯一股东，申请撤销福建港群产业投资有限公司于</w:t>
      </w:r>
      <w:r>
        <w:rPr>
          <w:rFonts w:hint="eastAsia" w:ascii="仿宋_GB2312" w:hAnsi="仿宋_GB2312" w:eastAsia="仿宋_GB2312" w:cs="仿宋_GB2312"/>
          <w:color w:val="auto"/>
          <w:kern w:val="0"/>
          <w:sz w:val="32"/>
          <w:szCs w:val="32"/>
          <w:lang w:val="en-US" w:eastAsia="zh-CN"/>
        </w:rPr>
        <w:t>2026年1月4日</w:t>
      </w:r>
      <w:r>
        <w:rPr>
          <w:rFonts w:hint="eastAsia" w:ascii="仿宋_GB2312" w:hAnsi="仿宋_GB2312" w:eastAsia="仿宋_GB2312" w:cs="仿宋_GB2312"/>
          <w:color w:val="000000"/>
          <w:sz w:val="32"/>
          <w:szCs w:val="32"/>
          <w:lang w:val="en-US" w:eastAsia="zh-CN"/>
        </w:rPr>
        <w:t>核准的设立登记。</w:t>
      </w:r>
      <w:r>
        <w:rPr>
          <w:rFonts w:hint="eastAsia" w:ascii="仿宋_GB2312" w:hAnsi="仿宋_GB2312" w:eastAsia="仿宋_GB2312" w:cs="仿宋_GB2312"/>
          <w:kern w:val="0"/>
          <w:sz w:val="32"/>
          <w:szCs w:val="32"/>
          <w:lang w:eastAsia="zh-CN"/>
        </w:rPr>
        <w:t>北京纳通实创投资管理有限公司承诺</w:t>
      </w:r>
      <w:r>
        <w:rPr>
          <w:rFonts w:hint="eastAsia" w:ascii="仿宋_GB2312" w:hAnsi="仿宋_GB2312" w:eastAsia="仿宋_GB2312" w:cs="仿宋_GB2312"/>
          <w:color w:val="auto"/>
          <w:sz w:val="32"/>
          <w:szCs w:val="32"/>
          <w:lang w:eastAsia="zh-CN"/>
        </w:rPr>
        <w:t>，其对</w:t>
      </w:r>
      <w:r>
        <w:rPr>
          <w:rFonts w:hint="eastAsia" w:ascii="仿宋_GB2312" w:hAnsi="仿宋_GB2312" w:eastAsia="仿宋_GB2312" w:cs="仿宋_GB2312"/>
          <w:color w:val="000000"/>
          <w:sz w:val="32"/>
          <w:szCs w:val="32"/>
          <w:lang w:val="en-US" w:eastAsia="zh-CN"/>
        </w:rPr>
        <w:t>福建港群产业投资有限公司</w:t>
      </w:r>
      <w:r>
        <w:rPr>
          <w:rFonts w:hint="eastAsia" w:ascii="仿宋_GB2312" w:hAnsi="仿宋_GB2312" w:eastAsia="仿宋_GB2312" w:cs="仿宋_GB2312"/>
          <w:color w:val="auto"/>
          <w:sz w:val="32"/>
          <w:szCs w:val="32"/>
        </w:rPr>
        <w:t>使用其身份办理</w:t>
      </w:r>
      <w:r>
        <w:rPr>
          <w:rFonts w:hint="eastAsia" w:ascii="仿宋_GB2312" w:hAnsi="仿宋_GB2312" w:eastAsia="仿宋_GB2312" w:cs="仿宋_GB2312"/>
          <w:color w:val="auto"/>
          <w:sz w:val="32"/>
          <w:szCs w:val="32"/>
          <w:lang w:eastAsia="zh-CN"/>
        </w:rPr>
        <w:t>设立</w:t>
      </w:r>
      <w:r>
        <w:rPr>
          <w:rFonts w:hint="eastAsia" w:ascii="仿宋_GB2312" w:hAnsi="仿宋_GB2312" w:eastAsia="仿宋_GB2312" w:cs="仿宋_GB2312"/>
          <w:color w:val="auto"/>
          <w:sz w:val="32"/>
          <w:szCs w:val="32"/>
        </w:rPr>
        <w:t>登记事项不知情，未</w:t>
      </w:r>
      <w:r>
        <w:rPr>
          <w:rFonts w:hint="eastAsia" w:ascii="仿宋_GB2312" w:hAnsi="仿宋_GB2312" w:eastAsia="仿宋_GB2312" w:cs="仿宋_GB2312"/>
          <w:color w:val="auto"/>
          <w:sz w:val="32"/>
          <w:szCs w:val="32"/>
          <w:lang w:eastAsia="zh-CN"/>
        </w:rPr>
        <w:t>以明示方式表示同意，也未事后追认，从未参与</w:t>
      </w:r>
      <w:r>
        <w:rPr>
          <w:rFonts w:hint="eastAsia" w:ascii="仿宋_GB2312" w:hAnsi="仿宋_GB2312" w:eastAsia="仿宋_GB2312" w:cs="仿宋_GB2312"/>
          <w:color w:val="000000"/>
          <w:sz w:val="32"/>
          <w:szCs w:val="32"/>
          <w:lang w:val="en-US" w:eastAsia="zh-CN"/>
        </w:rPr>
        <w:t>福建港群产业投资有限公司设立出资，也从未参与福建港群产业投资有限公司的相关管理、经营活动或获得收益等后续相关事务。</w:t>
      </w:r>
      <w:r>
        <w:rPr>
          <w:rFonts w:hint="eastAsia" w:ascii="仿宋_GB2312" w:hAnsi="仿宋_GB2312" w:eastAsia="仿宋_GB2312" w:cs="仿宋_GB2312"/>
          <w:color w:val="auto"/>
          <w:sz w:val="32"/>
          <w:szCs w:val="32"/>
          <w:lang w:val="en-US" w:eastAsia="zh-CN"/>
        </w:rPr>
        <w:t>为查清事实，我局于2026年3月18日予以受理并展开调查。</w:t>
      </w:r>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b/>
          <w:bCs/>
          <w:color w:val="auto"/>
          <w:sz w:val="32"/>
          <w:szCs w:val="32"/>
        </w:rPr>
        <w:t>经查</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000000"/>
          <w:sz w:val="32"/>
          <w:szCs w:val="32"/>
          <w:lang w:val="en-US" w:eastAsia="zh-CN"/>
        </w:rPr>
        <w:t>福建港群产业投资有限公司</w:t>
      </w:r>
      <w:r>
        <w:rPr>
          <w:rFonts w:hint="eastAsia" w:ascii="仿宋_GB2312" w:hAnsi="仿宋_GB2312" w:eastAsia="仿宋_GB2312" w:cs="仿宋_GB2312"/>
          <w:color w:val="auto"/>
          <w:kern w:val="0"/>
          <w:sz w:val="32"/>
          <w:szCs w:val="32"/>
        </w:rPr>
        <w:t>于20</w:t>
      </w:r>
      <w:r>
        <w:rPr>
          <w:rFonts w:hint="eastAsia" w:ascii="仿宋_GB2312" w:hAnsi="仿宋_GB2312" w:eastAsia="仿宋_GB2312" w:cs="仿宋_GB2312"/>
          <w:color w:val="auto"/>
          <w:kern w:val="0"/>
          <w:sz w:val="32"/>
          <w:szCs w:val="32"/>
          <w:lang w:val="en-US" w:eastAsia="zh-CN"/>
        </w:rPr>
        <w:t>26</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日设立，</w:t>
      </w:r>
      <w:r>
        <w:rPr>
          <w:rFonts w:hint="eastAsia" w:ascii="仿宋_GB2312" w:hAnsi="仿宋_GB2312" w:eastAsia="仿宋_GB2312" w:cs="仿宋_GB2312"/>
          <w:color w:val="auto"/>
          <w:kern w:val="0"/>
          <w:sz w:val="32"/>
          <w:szCs w:val="32"/>
          <w:lang w:eastAsia="zh-CN"/>
        </w:rPr>
        <w:t>设立时股东为</w:t>
      </w:r>
      <w:r>
        <w:rPr>
          <w:rFonts w:hint="eastAsia" w:ascii="仿宋_GB2312" w:hAnsi="仿宋_GB2312" w:eastAsia="仿宋_GB2312" w:cs="仿宋_GB2312"/>
          <w:kern w:val="0"/>
          <w:sz w:val="32"/>
          <w:szCs w:val="32"/>
          <w:lang w:eastAsia="zh-CN"/>
        </w:rPr>
        <w:t>北京纳通实创投资管理有限公司，法定代表人为胡爱发，</w:t>
      </w:r>
      <w:r>
        <w:rPr>
          <w:rFonts w:hint="eastAsia" w:ascii="仿宋_GB2312" w:hAnsi="仿宋_GB2312" w:eastAsia="仿宋_GB2312" w:cs="仿宋_GB2312"/>
          <w:color w:val="auto"/>
          <w:kern w:val="0"/>
          <w:sz w:val="32"/>
          <w:szCs w:val="32"/>
        </w:rPr>
        <w:t>企业状态目前为“</w:t>
      </w:r>
      <w:r>
        <w:rPr>
          <w:rFonts w:hint="eastAsia" w:ascii="仿宋_GB2312" w:hAnsi="仿宋_GB2312" w:eastAsia="仿宋_GB2312" w:cs="仿宋_GB2312"/>
          <w:color w:val="auto"/>
          <w:kern w:val="0"/>
          <w:sz w:val="32"/>
          <w:szCs w:val="32"/>
          <w:lang w:eastAsia="zh-CN"/>
        </w:rPr>
        <w:t>存续</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。设立登记后至今没有变更事项。</w:t>
      </w:r>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auto"/>
          <w:kern w:val="0"/>
          <w:sz w:val="32"/>
          <w:szCs w:val="32"/>
          <w:lang w:eastAsia="zh-CN"/>
        </w:rPr>
        <w:t>另查，</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000000"/>
          <w:sz w:val="32"/>
          <w:szCs w:val="32"/>
          <w:lang w:val="en-US" w:eastAsia="zh-CN"/>
        </w:rPr>
        <w:t>福建港群产业投资有限公司”工商档案材料上的共五枚“北京纳通实创投资管理有限公司”印章印文与（YB）《北京纳通实创投资管理有限公司公章样式》上的“北京纳通实创投资管理有限公司”印章印文不是同一枚印章上的印文；“福建港群产业投资有限公司”工商档案材料中的共四个“李博”签名字迹与（YB）《北京纳通实创投资管理有限公司公章样式》上的“李博”签名字迹不是同一人的笔迹。</w:t>
      </w:r>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b/>
          <w:bCs/>
          <w:color w:val="000000"/>
          <w:sz w:val="32"/>
          <w:szCs w:val="32"/>
          <w:lang w:val="en-US" w:eastAsia="zh-CN"/>
        </w:rPr>
        <w:t>又查明，</w:t>
      </w:r>
      <w:r>
        <w:rPr>
          <w:rFonts w:hint="eastAsia" w:ascii="仿宋_GB2312" w:hAnsi="仿宋_GB2312" w:eastAsia="仿宋_GB2312" w:cs="仿宋_GB2312"/>
          <w:color w:val="000000"/>
          <w:sz w:val="32"/>
          <w:szCs w:val="32"/>
          <w:lang w:val="en-US" w:eastAsia="zh-CN"/>
        </w:rPr>
        <w:t>福建港群产业投资有限公司设立时，公司设立登记的委托代理具体经办人员</w:t>
      </w:r>
      <w:r>
        <w:rPr>
          <w:rFonts w:hint="eastAsia" w:ascii="仿宋_GB2312" w:hAnsi="仿宋_GB2312" w:eastAsia="仿宋_GB2312" w:cs="仿宋_GB2312"/>
          <w:sz w:val="32"/>
          <w:szCs w:val="32"/>
          <w:u w:val="none"/>
          <w:lang w:eastAsia="zh-CN"/>
        </w:rPr>
        <w:t>仅和第三人“聂伟”联系，未见过公司法定代表人胡爱发，也未见过该公司的任何人员。由</w:t>
      </w:r>
      <w:r>
        <w:rPr>
          <w:rFonts w:hint="eastAsia" w:ascii="仿宋_GB2312" w:hAnsi="仿宋_GB2312" w:eastAsia="仿宋_GB2312" w:cs="仿宋_GB2312"/>
          <w:color w:val="000000"/>
          <w:sz w:val="32"/>
          <w:szCs w:val="32"/>
          <w:lang w:val="en-US" w:eastAsia="zh-CN"/>
        </w:rPr>
        <w:t>经办人员提供的设立登记相关材料</w:t>
      </w:r>
      <w:r>
        <w:rPr>
          <w:rFonts w:hint="eastAsia" w:ascii="仿宋_GB2312" w:hAnsi="仿宋_GB2312" w:eastAsia="仿宋_GB2312" w:cs="仿宋_GB2312"/>
          <w:sz w:val="32"/>
          <w:szCs w:val="32"/>
          <w:u w:val="none"/>
          <w:lang w:eastAsia="zh-CN"/>
        </w:rPr>
        <w:t>（包含设立需要的备案申请书，财务聘任书，股东决定，章程，租赁合同共五份文件），均由经办人员拟好文书，标注好需要签字盖章的地方后，发给第三人“聂伟”转发给相关人员签字，后经办人员收到签字盖章的资料后于</w:t>
      </w:r>
      <w:r>
        <w:rPr>
          <w:rFonts w:hint="eastAsia" w:ascii="仿宋_GB2312" w:hAnsi="仿宋_GB2312" w:eastAsia="仿宋_GB2312" w:cs="仿宋_GB2312"/>
          <w:sz w:val="32"/>
          <w:szCs w:val="32"/>
          <w:u w:val="none"/>
          <w:lang w:val="en-US" w:eastAsia="zh-CN"/>
        </w:rPr>
        <w:t>2026年1月4日</w:t>
      </w:r>
      <w:r>
        <w:rPr>
          <w:rFonts w:hint="eastAsia" w:ascii="仿宋_GB2312" w:hAnsi="仿宋_GB2312" w:eastAsia="仿宋_GB2312" w:cs="仿宋_GB2312"/>
          <w:sz w:val="32"/>
          <w:szCs w:val="32"/>
          <w:u w:val="none"/>
          <w:lang w:eastAsia="zh-CN"/>
        </w:rPr>
        <w:t>到市市场监督管理局窗口办理公司设立登记，取得营业执照后按照“聂伟”的要求寄回“聂伟”提供的地址。且，</w:t>
      </w:r>
      <w:r>
        <w:rPr>
          <w:rFonts w:hint="eastAsia" w:ascii="宋体" w:hAnsi="宋体" w:eastAsia="仿宋_GB2312" w:cs="Mongolian Baiti"/>
          <w:sz w:val="32"/>
          <w:szCs w:val="32"/>
          <w:u w:val="none"/>
          <w:lang w:val="en-US" w:eastAsia="zh-CN"/>
        </w:rPr>
        <w:t>福建港群产业投资有限公司注册后未在</w:t>
      </w:r>
      <w:r>
        <w:rPr>
          <w:rFonts w:hint="eastAsia" w:ascii="仿宋_GB2312" w:hAnsi="仿宋_GB2312" w:eastAsia="仿宋_GB2312" w:cs="仿宋_GB2312"/>
          <w:color w:val="000000"/>
          <w:sz w:val="32"/>
          <w:szCs w:val="32"/>
          <w:lang w:val="en-US" w:eastAsia="zh-CN"/>
        </w:rPr>
        <w:t>登记住所福建省三明市三元区乾龙新村16幢一层1号-4的地点（即其租赁的办公地点）</w:t>
      </w:r>
      <w:r>
        <w:rPr>
          <w:rFonts w:hint="eastAsia" w:ascii="宋体" w:hAnsi="宋体" w:eastAsia="仿宋_GB2312" w:cs="Mongolian Baiti"/>
          <w:sz w:val="32"/>
          <w:szCs w:val="32"/>
          <w:u w:val="none" w:color="auto"/>
          <w:lang w:val="en-US" w:eastAsia="zh-CN"/>
        </w:rPr>
        <w:t>实际办公过，该地点的出租人公司员工也未见过福建港群产业投资有限公司的人员在该办公场所从事经营活动。</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t>20</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lang w:val="zh-CN"/>
        </w:rPr>
        <w:t>年</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lang w:val="zh-CN"/>
        </w:rPr>
        <w:t>月</w:t>
      </w:r>
      <w:r>
        <w:rPr>
          <w:rFonts w:hint="eastAsia" w:ascii="仿宋_GB2312" w:eastAsia="仿宋_GB2312" w:cs="仿宋_GB2312"/>
          <w:color w:val="auto"/>
          <w:sz w:val="32"/>
          <w:szCs w:val="32"/>
          <w:lang w:val="en-US" w:eastAsia="zh-CN"/>
        </w:rPr>
        <w:t>26</w:t>
      </w:r>
      <w:r>
        <w:rPr>
          <w:rFonts w:hint="eastAsia" w:ascii="仿宋_GB2312" w:eastAsia="仿宋_GB2312" w:cs="仿宋_GB2312"/>
          <w:color w:val="auto"/>
          <w:sz w:val="32"/>
          <w:szCs w:val="32"/>
          <w:lang w:val="zh-CN"/>
        </w:rPr>
        <w:t>日</w:t>
      </w:r>
      <w:r>
        <w:rPr>
          <w:rFonts w:hint="eastAsia" w:ascii="仿宋_GB2312" w:eastAsia="仿宋_GB2312" w:cs="仿宋_GB2312"/>
          <w:color w:val="auto"/>
          <w:sz w:val="32"/>
          <w:szCs w:val="32"/>
          <w:lang w:val="zh-CN" w:eastAsia="zh-CN"/>
        </w:rPr>
        <w:t>，</w:t>
      </w:r>
      <w:r>
        <w:rPr>
          <w:rFonts w:hint="eastAsia" w:ascii="仿宋_GB2312" w:eastAsia="仿宋_GB2312" w:cs="仿宋_GB2312"/>
          <w:color w:val="000000"/>
          <w:sz w:val="32"/>
          <w:szCs w:val="32"/>
          <w:lang w:val="zh-CN"/>
        </w:rPr>
        <w:t>我局依法将</w:t>
      </w:r>
      <w:r>
        <w:rPr>
          <w:rFonts w:hint="eastAsia" w:ascii="仿宋_GB2312" w:hAnsi="仿宋_GB2312" w:eastAsia="仿宋_GB2312" w:cs="仿宋_GB2312"/>
          <w:color w:val="000000"/>
          <w:sz w:val="32"/>
          <w:szCs w:val="32"/>
          <w:lang w:val="en-US" w:eastAsia="zh-CN"/>
        </w:rPr>
        <w:t>福建港群产业投资有限公司</w:t>
      </w:r>
      <w:r>
        <w:rPr>
          <w:rFonts w:hint="eastAsia" w:ascii="仿宋_GB2312" w:eastAsia="仿宋_GB2312" w:cs="仿宋_GB2312"/>
          <w:color w:val="000000"/>
          <w:sz w:val="32"/>
          <w:szCs w:val="32"/>
          <w:lang w:val="zh-CN"/>
        </w:rPr>
        <w:t>涉嫌冒用他人身份信息取得公司设立登记的时间、具体登记事项、登记机关联系方式等相关情况在“国家企业信用信息公示系统（福建）”向社会进行公示</w:t>
      </w:r>
      <w:r>
        <w:rPr>
          <w:rFonts w:hint="eastAsia" w:ascii="仿宋_GB2312" w:hAnsi="仿宋_GB2312" w:eastAsia="仿宋_GB2312" w:cs="仿宋_GB2312"/>
          <w:color w:val="000000"/>
          <w:sz w:val="32"/>
          <w:szCs w:val="32"/>
          <w:lang w:val="zh-CN"/>
        </w:rPr>
        <w:t>，在法定的</w:t>
      </w:r>
      <w:r>
        <w:rPr>
          <w:rFonts w:hint="eastAsia" w:ascii="仿宋_GB2312" w:hAnsi="仿宋_GB2312" w:eastAsia="仿宋_GB2312" w:cs="仿宋_GB2312"/>
          <w:color w:val="000000"/>
          <w:sz w:val="32"/>
          <w:szCs w:val="32"/>
          <w:lang w:val="en-US" w:eastAsia="zh-CN"/>
        </w:rPr>
        <w:t>45日内</w:t>
      </w:r>
      <w:r>
        <w:rPr>
          <w:rFonts w:hint="eastAsia" w:ascii="仿宋_GB2312" w:hAnsi="仿宋_GB2312" w:eastAsia="仿宋_GB2312" w:cs="仿宋_GB2312"/>
          <w:b/>
          <w:bCs/>
          <w:color w:val="000000"/>
          <w:sz w:val="32"/>
          <w:szCs w:val="32"/>
          <w:lang w:val="zh-CN"/>
        </w:rPr>
        <w:t>未收到</w:t>
      </w:r>
      <w:r>
        <w:rPr>
          <w:rFonts w:hint="eastAsia" w:ascii="仿宋_GB2312" w:hAnsi="仿宋_GB2312" w:eastAsia="仿宋_GB2312" w:cs="仿宋_GB2312"/>
          <w:color w:val="000000"/>
          <w:sz w:val="32"/>
          <w:szCs w:val="32"/>
          <w:lang w:val="zh-CN"/>
        </w:rPr>
        <w:t>相关</w:t>
      </w:r>
      <w:r>
        <w:rPr>
          <w:rFonts w:hint="eastAsia" w:ascii="仿宋_GB2312" w:eastAsia="仿宋_GB2312" w:cs="仿宋_GB2312"/>
          <w:color w:val="000000"/>
          <w:sz w:val="32"/>
          <w:szCs w:val="32"/>
          <w:lang w:val="zh-CN"/>
        </w:rPr>
        <w:t>人员提出异议。</w:t>
      </w:r>
      <w:r>
        <w:rPr>
          <w:rFonts w:hint="eastAsia" w:ascii="仿宋_GB2312" w:eastAsia="仿宋_GB2312" w:cs="仿宋_GB2312"/>
          <w:b/>
          <w:bCs/>
          <w:color w:val="000000"/>
          <w:sz w:val="32"/>
          <w:szCs w:val="32"/>
          <w:lang w:val="zh-CN"/>
        </w:rPr>
        <w:t>且经查</w:t>
      </w:r>
      <w:r>
        <w:rPr>
          <w:rFonts w:hint="eastAsia" w:ascii="仿宋_GB2312" w:eastAsia="仿宋_GB2312" w:cs="仿宋_GB2312"/>
          <w:color w:val="000000"/>
          <w:sz w:val="32"/>
          <w:szCs w:val="32"/>
          <w:lang w:val="zh-CN"/>
        </w:rPr>
        <w:t>北京纳通实创投资管理有限公司没有通过追认、实际参与经营等方式默认登记为福建港群产业投资有限公司的唯一股东。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综上，</w:t>
      </w:r>
      <w:r>
        <w:rPr>
          <w:rFonts w:hint="eastAsia" w:ascii="仿宋_GB2312" w:eastAsia="仿宋_GB2312" w:cs="仿宋_GB2312"/>
          <w:color w:val="000000"/>
          <w:sz w:val="32"/>
          <w:szCs w:val="32"/>
          <w:lang w:val="zh-CN"/>
        </w:rPr>
        <w:t>北京纳通实创投资管理有限公司在不知情也未授权的情况下被冒用身份登记为</w:t>
      </w:r>
      <w:r>
        <w:rPr>
          <w:rFonts w:hint="eastAsia" w:ascii="仿宋_GB2312" w:hAnsi="仿宋_GB2312" w:eastAsia="仿宋_GB2312" w:cs="仿宋_GB2312"/>
          <w:color w:val="000000"/>
          <w:sz w:val="32"/>
          <w:szCs w:val="32"/>
          <w:lang w:val="en-US" w:eastAsia="zh-CN"/>
        </w:rPr>
        <w:t>福建港群产业投资有限公司的唯一股东。福建港群产业投资有限公司的设立登记非</w:t>
      </w:r>
      <w:r>
        <w:rPr>
          <w:rFonts w:hint="eastAsia" w:ascii="仿宋_GB2312" w:eastAsia="仿宋_GB2312" w:cs="仿宋_GB2312"/>
          <w:color w:val="000000"/>
          <w:sz w:val="32"/>
          <w:szCs w:val="32"/>
          <w:lang w:val="zh-CN"/>
        </w:rPr>
        <w:t>北京纳通实创投资管理有限公司真实意愿。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eastAsia="zh-CN"/>
        </w:rPr>
      </w:pPr>
      <w:r>
        <w:rPr>
          <w:rFonts w:hint="eastAsia" w:ascii="仿宋_GB2312" w:hAnsi="仿宋_GB2312" w:eastAsia="仿宋_GB2312" w:cs="仿宋_GB2312"/>
          <w:sz w:val="32"/>
          <w:szCs w:val="32"/>
        </w:rPr>
        <w:t>上述事实，</w:t>
      </w:r>
      <w:r>
        <w:rPr>
          <w:rFonts w:hint="eastAsia" w:ascii="仿宋_GB2312" w:hAnsi="仿宋_GB2312" w:eastAsia="仿宋_GB2312" w:cs="仿宋_GB2312"/>
          <w:sz w:val="32"/>
          <w:szCs w:val="32"/>
          <w:lang w:eastAsia="zh-CN"/>
        </w:rPr>
        <w:t>主要</w:t>
      </w:r>
      <w:r>
        <w:rPr>
          <w:rFonts w:hint="eastAsia" w:ascii="仿宋_GB2312" w:hAnsi="仿宋_GB2312" w:eastAsia="仿宋_GB2312" w:cs="仿宋_GB2312"/>
          <w:sz w:val="32"/>
          <w:szCs w:val="32"/>
        </w:rPr>
        <w:t>有</w:t>
      </w:r>
      <w:r>
        <w:rPr>
          <w:rFonts w:hint="eastAsia" w:ascii="仿宋_GB2312" w:hAnsi="仿宋_GB2312" w:eastAsia="仿宋_GB2312" w:cs="仿宋_GB2312"/>
          <w:kern w:val="0"/>
          <w:sz w:val="32"/>
          <w:szCs w:val="32"/>
          <w:lang w:eastAsia="zh-CN"/>
        </w:rPr>
        <w:t>北京纳通实创投资管理有限公司</w:t>
      </w:r>
      <w:r>
        <w:rPr>
          <w:rFonts w:hint="eastAsia" w:ascii="仿宋_GB2312" w:hAnsi="仿宋_GB2312" w:eastAsia="仿宋_GB2312" w:cs="仿宋_GB2312"/>
          <w:color w:val="000000"/>
          <w:sz w:val="32"/>
          <w:szCs w:val="32"/>
          <w:lang w:val="en-US" w:eastAsia="zh-CN"/>
        </w:rPr>
        <w:t>的申请材料、福建澄源司法鉴定所出具《司法鉴定意见书》（闽澄司</w:t>
      </w:r>
      <w:r>
        <w:rPr>
          <w:rFonts w:hint="eastAsia" w:ascii="仿宋_GB2312" w:hAnsi="Gulim" w:eastAsia="仿宋_GB2312" w:cs="Times New Roman"/>
          <w:color w:val="050505"/>
          <w:sz w:val="32"/>
          <w:szCs w:val="32"/>
          <w:lang w:eastAsia="zh-CN"/>
        </w:rPr>
        <w:t>〔202</w:t>
      </w:r>
      <w:r>
        <w:rPr>
          <w:rFonts w:hint="eastAsia" w:ascii="仿宋_GB2312" w:hAnsi="Gulim" w:eastAsia="仿宋_GB2312" w:cs="Times New Roman"/>
          <w:color w:val="050505"/>
          <w:sz w:val="32"/>
          <w:szCs w:val="32"/>
          <w:lang w:val="en-US" w:eastAsia="zh-CN"/>
        </w:rPr>
        <w:t>6</w:t>
      </w:r>
      <w:r>
        <w:rPr>
          <w:rFonts w:hint="eastAsia" w:ascii="仿宋_GB2312" w:hAnsi="Gulim" w:eastAsia="仿宋_GB2312" w:cs="Times New Roman"/>
          <w:color w:val="050505"/>
          <w:sz w:val="32"/>
          <w:szCs w:val="32"/>
          <w:lang w:eastAsia="zh-CN"/>
        </w:rPr>
        <w:t>〕文鉴字</w:t>
      </w:r>
      <w:r>
        <w:rPr>
          <w:rFonts w:hint="eastAsia" w:ascii="仿宋_GB2312" w:hAnsi="Gulim" w:eastAsia="仿宋_GB2312" w:cs="Times New Roman"/>
          <w:color w:val="050505"/>
          <w:sz w:val="32"/>
          <w:szCs w:val="32"/>
          <w:lang w:val="en-US" w:eastAsia="zh-CN"/>
        </w:rPr>
        <w:t>27号</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sz w:val="32"/>
          <w:szCs w:val="32"/>
          <w:lang w:val="en-US" w:eastAsia="zh-CN"/>
        </w:rPr>
        <w:t>福建港群产业投资有限公司登记材料、相关当事人的询问笔录、情况说明及微信聊天记录截图打印件、我局寄出并被退回的《询问通知书》、</w:t>
      </w:r>
      <w:r>
        <w:rPr>
          <w:rFonts w:hint="eastAsia" w:ascii="宋体" w:hAnsi="宋体" w:eastAsia="仿宋_GB2312" w:cs="仿宋"/>
          <w:color w:val="000000"/>
          <w:sz w:val="32"/>
          <w:szCs w:val="32"/>
          <w:u w:val="none"/>
          <w:lang w:val="en-US" w:eastAsia="zh-CN"/>
        </w:rPr>
        <w:t>我局在“国家企业信用信息公示系统（福建）”对福建港群产业投资有限公司涉嫌冒用他人身份信息取得公司设立登记的情况公示的截图等证据证明。</w:t>
      </w:r>
    </w:p>
    <w:p>
      <w:pPr>
        <w:keepNext w:val="0"/>
        <w:keepLines w:val="0"/>
        <w:pageBreakBefore w:val="0"/>
        <w:widowControl w:val="0"/>
        <w:kinsoku/>
        <w:wordWrap/>
        <w:overflowPunct/>
        <w:topLinePunct w:val="0"/>
        <w:bidi w:val="0"/>
        <w:snapToGrid/>
        <w:spacing w:line="560" w:lineRule="exact"/>
        <w:ind w:firstLine="640"/>
        <w:textAlignment w:val="auto"/>
        <w:rPr>
          <w:rFonts w:ascii="仿宋_GB2312" w:eastAsia="仿宋_GB2312" w:cs="Times New Roman"/>
          <w:color w:val="000000"/>
          <w:sz w:val="32"/>
          <w:szCs w:val="32"/>
          <w:lang w:val="zh-CN"/>
        </w:rPr>
      </w:pPr>
      <w:r>
        <w:rPr>
          <w:rFonts w:hint="eastAsia" w:ascii="仿宋_GB2312" w:hAnsi="仿宋_GB2312" w:eastAsia="仿宋_GB2312" w:cs="仿宋_GB2312"/>
          <w:color w:val="000000"/>
          <w:sz w:val="32"/>
          <w:szCs w:val="32"/>
          <w:lang w:val="en-US" w:eastAsia="zh-CN"/>
        </w:rPr>
        <w:t>当事人福建港群产业投资有限公司于</w:t>
      </w:r>
      <w:r>
        <w:rPr>
          <w:rFonts w:hint="eastAsia" w:ascii="仿宋_GB2312" w:hAnsi="仿宋_GB2312" w:eastAsia="仿宋_GB2312" w:cs="仿宋_GB2312"/>
          <w:color w:val="auto"/>
          <w:kern w:val="0"/>
          <w:sz w:val="32"/>
          <w:szCs w:val="32"/>
          <w:lang w:val="en-US" w:eastAsia="zh-CN"/>
        </w:rPr>
        <w:t>2026年1月4日</w:t>
      </w:r>
      <w:r>
        <w:rPr>
          <w:rFonts w:hint="eastAsia" w:ascii="仿宋_GB2312" w:eastAsia="仿宋_GB2312" w:cs="仿宋_GB2312"/>
          <w:color w:val="000000"/>
          <w:sz w:val="32"/>
          <w:szCs w:val="32"/>
          <w:lang w:val="zh-CN"/>
        </w:rPr>
        <w:t>申请的设立登记，涉嫌向登记机关提交非</w:t>
      </w:r>
      <w:r>
        <w:rPr>
          <w:rFonts w:hint="eastAsia" w:ascii="仿宋_GB2312" w:hAnsi="仿宋_GB2312" w:eastAsia="仿宋_GB2312" w:cs="仿宋_GB2312"/>
          <w:color w:val="000000"/>
          <w:sz w:val="32"/>
          <w:szCs w:val="32"/>
          <w:lang w:eastAsia="zh-CN"/>
        </w:rPr>
        <w:t>股东真实</w:t>
      </w:r>
      <w:r>
        <w:rPr>
          <w:rFonts w:hint="eastAsia" w:ascii="仿宋_GB2312" w:eastAsia="仿宋_GB2312" w:cs="仿宋_GB2312"/>
          <w:color w:val="000000"/>
          <w:sz w:val="32"/>
          <w:szCs w:val="32"/>
          <w:lang w:val="zh-CN"/>
        </w:rPr>
        <w:t>意愿的虚假登记材料，且股东</w:t>
      </w:r>
      <w:r>
        <w:rPr>
          <w:rFonts w:hint="eastAsia" w:ascii="仿宋_GB2312" w:hAnsi="仿宋_GB2312" w:eastAsia="仿宋_GB2312" w:cs="仿宋_GB2312"/>
          <w:kern w:val="0"/>
          <w:sz w:val="32"/>
          <w:szCs w:val="32"/>
          <w:lang w:eastAsia="zh-CN"/>
        </w:rPr>
        <w:t>北京纳通实创投资管理有限公司</w:t>
      </w:r>
      <w:r>
        <w:rPr>
          <w:rFonts w:hint="eastAsia" w:ascii="仿宋_GB2312" w:eastAsia="仿宋_GB2312" w:cs="仿宋_GB2312"/>
          <w:color w:val="000000"/>
          <w:sz w:val="32"/>
          <w:szCs w:val="32"/>
          <w:lang w:val="zh-CN"/>
        </w:rPr>
        <w:t>未确认同意或者事后追认相关登记事项，涉嫌冒名登记，</w:t>
      </w:r>
      <w:r>
        <w:rPr>
          <w:rFonts w:hint="eastAsia" w:ascii="仿宋_GB2312" w:eastAsia="仿宋_GB2312" w:cs="仿宋_GB2312"/>
          <w:sz w:val="32"/>
          <w:szCs w:val="32"/>
          <w:lang w:val="zh-CN"/>
        </w:rPr>
        <w:t>涉嫌违反《中华人民共和国行政许可法》第三十一条“申请人申请行政许可，应当如实向行政机关提交有关材料和反映真实情况，并对其申请材料实质内容的真实性负责。”、《中华人民共和国市场主体登记管理条例》第十七条“</w:t>
      </w:r>
      <w:r>
        <w:rPr>
          <w:rFonts w:hint="eastAsia" w:ascii="仿宋_GB2312" w:eastAsia="仿宋_GB2312" w:cs="仿宋_GB2312"/>
          <w:color w:val="000000"/>
          <w:sz w:val="32"/>
          <w:szCs w:val="32"/>
          <w:lang w:val="zh-CN"/>
        </w:rPr>
        <w:t>申请人应当对提交材料的真实性、合法性和有效性负责。”等规定。</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eastAsia="仿宋_GB2312" w:cs="仿宋_GB2312"/>
          <w:color w:val="000000"/>
          <w:sz w:val="32"/>
          <w:szCs w:val="32"/>
          <w:lang w:val="zh-CN"/>
        </w:rPr>
      </w:pPr>
      <w:r>
        <w:rPr>
          <w:rFonts w:hint="eastAsia" w:ascii="仿宋_GB2312" w:eastAsia="仿宋_GB2312" w:cs="仿宋_GB2312"/>
          <w:color w:val="000000"/>
          <w:sz w:val="32"/>
          <w:szCs w:val="32"/>
          <w:lang w:eastAsia="zh-CN"/>
        </w:rPr>
        <w:t>依</w:t>
      </w:r>
      <w:r>
        <w:rPr>
          <w:rFonts w:hint="eastAsia" w:ascii="仿宋_GB2312" w:eastAsia="仿宋_GB2312" w:cs="仿宋_GB2312"/>
          <w:color w:val="000000"/>
          <w:sz w:val="32"/>
          <w:szCs w:val="32"/>
        </w:rPr>
        <w:t>据</w:t>
      </w:r>
      <w:r>
        <w:rPr>
          <w:rFonts w:hint="eastAsia" w:ascii="仿宋_GB2312" w:eastAsia="仿宋_GB2312" w:cs="仿宋_GB2312"/>
          <w:color w:val="000000"/>
          <w:sz w:val="32"/>
          <w:szCs w:val="32"/>
          <w:lang w:eastAsia="zh-CN"/>
        </w:rPr>
        <w:t>《中华人民共和国行政许可法》第六十九条第二款“被许可人以欺骗、贿赂等不正当手段取得行政许可的，应当予以撤销”、</w:t>
      </w:r>
      <w:r>
        <w:rPr>
          <w:rFonts w:hint="eastAsia" w:ascii="仿宋_GB2312" w:eastAsia="仿宋_GB2312" w:cs="仿宋_GB2312"/>
          <w:color w:val="000000"/>
          <w:sz w:val="32"/>
          <w:szCs w:val="32"/>
          <w:lang w:val="zh-CN"/>
        </w:rPr>
        <w:t>《中华人民共和国市场主体登记管理条例》第四十条第二款“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等规</w:t>
      </w:r>
      <w:r>
        <w:rPr>
          <w:rFonts w:hint="eastAsia" w:ascii="仿宋_GB2312" w:eastAsia="仿宋_GB2312" w:cs="仿宋_GB2312"/>
          <w:color w:val="000000"/>
          <w:sz w:val="32"/>
          <w:szCs w:val="32"/>
        </w:rPr>
        <w:t>定，</w:t>
      </w:r>
      <w:r>
        <w:rPr>
          <w:rFonts w:hint="eastAsia" w:ascii="仿宋_GB2312" w:eastAsia="仿宋_GB2312" w:cs="仿宋_GB2312"/>
          <w:color w:val="000000"/>
          <w:sz w:val="32"/>
          <w:szCs w:val="32"/>
          <w:lang w:val="zh-CN"/>
        </w:rPr>
        <w:t>我局拟处理如下：</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拟撤销三明市市场监督管理局于</w:t>
      </w:r>
      <w:r>
        <w:rPr>
          <w:rFonts w:hint="eastAsia" w:ascii="仿宋_GB2312" w:hAnsi="仿宋_GB2312" w:eastAsia="仿宋_GB2312" w:cs="仿宋_GB2312"/>
          <w:color w:val="auto"/>
          <w:kern w:val="0"/>
          <w:sz w:val="32"/>
          <w:szCs w:val="32"/>
          <w:lang w:val="en-US" w:eastAsia="zh-CN"/>
        </w:rPr>
        <w:t>2026年1月4日</w:t>
      </w:r>
      <w:r>
        <w:rPr>
          <w:rFonts w:hint="eastAsia" w:ascii="仿宋_GB2312" w:eastAsia="仿宋_GB2312" w:cs="仿宋_GB2312"/>
          <w:color w:val="000000"/>
          <w:sz w:val="32"/>
          <w:szCs w:val="32"/>
          <w:lang w:val="zh-CN"/>
        </w:rPr>
        <w:t>核准的</w:t>
      </w:r>
      <w:r>
        <w:rPr>
          <w:rFonts w:hint="eastAsia" w:ascii="仿宋_GB2312" w:hAnsi="仿宋_GB2312" w:eastAsia="仿宋_GB2312" w:cs="仿宋_GB2312"/>
          <w:color w:val="000000"/>
          <w:sz w:val="32"/>
          <w:szCs w:val="32"/>
          <w:lang w:val="en-US" w:eastAsia="zh-CN"/>
        </w:rPr>
        <w:t>福建港群产业投资有限公司设立</w:t>
      </w:r>
      <w:r>
        <w:rPr>
          <w:rFonts w:hint="eastAsia" w:ascii="仿宋_GB2312" w:eastAsia="仿宋_GB2312" w:cs="仿宋_GB2312"/>
          <w:color w:val="000000"/>
          <w:sz w:val="32"/>
          <w:szCs w:val="32"/>
          <w:lang w:val="zh-CN"/>
        </w:rPr>
        <w:t>登记，并在作出撤销登记决定后，通过国家企业信用信息公示系统向社会公示。</w:t>
      </w:r>
    </w:p>
    <w:p>
      <w:pPr>
        <w:keepNext w:val="0"/>
        <w:keepLines w:val="0"/>
        <w:pageBreakBefore w:val="0"/>
        <w:widowControl w:val="0"/>
        <w:kinsoku/>
        <w:wordWrap/>
        <w:overflowPunct/>
        <w:topLinePunct w:val="0"/>
        <w:bidi w:val="0"/>
        <w:snapToGrid/>
        <w:spacing w:line="560" w:lineRule="exact"/>
        <w:ind w:firstLine="640"/>
        <w:textAlignment w:val="auto"/>
        <w:rPr>
          <w:rFonts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依据</w:t>
      </w:r>
      <w:r>
        <w:rPr>
          <w:rFonts w:hint="eastAsia" w:ascii="仿宋_GB2312" w:eastAsia="仿宋_GB2312" w:cs="仿宋_GB2312"/>
          <w:color w:val="000000" w:themeColor="text1"/>
          <w:sz w:val="32"/>
          <w:szCs w:val="32"/>
          <w:lang w:val="zh-CN"/>
          <w14:textFill>
            <w14:solidFill>
              <w14:schemeClr w14:val="tx1"/>
            </w14:solidFill>
          </w14:textFill>
        </w:rPr>
        <w:t>《市场监督管理行政许可程序暂行规定》第四十三条、第四十四条、第七十七条等规定</w:t>
      </w:r>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lang w:eastAsia="zh-CN"/>
          <w14:textFill>
            <w14:solidFill>
              <w14:schemeClr w14:val="tx1"/>
            </w14:solidFill>
          </w14:textFill>
        </w:rPr>
        <w:t>你单位</w:t>
      </w:r>
      <w:r>
        <w:rPr>
          <w:rFonts w:hint="eastAsia" w:ascii="仿宋_GB2312" w:eastAsia="仿宋_GB2312" w:cs="仿宋_GB2312"/>
          <w:color w:val="000000" w:themeColor="text1"/>
          <w:sz w:val="32"/>
          <w:szCs w:val="32"/>
          <w14:textFill>
            <w14:solidFill>
              <w14:schemeClr w14:val="tx1"/>
            </w14:solidFill>
          </w14:textFill>
        </w:rPr>
        <w:t>有权进行陈述、申辩，并可以要求听证。自收到本告知书之日起五个工作日内未行使陈述、申辩权，未要求听证的，视为放弃此权利。</w:t>
      </w:r>
    </w:p>
    <w:p>
      <w:pPr>
        <w:keepNext w:val="0"/>
        <w:keepLines w:val="0"/>
        <w:pageBreakBefore w:val="0"/>
        <w:widowControl w:val="0"/>
        <w:kinsoku/>
        <w:wordWrap/>
        <w:overflowPunct/>
        <w:topLinePunct w:val="0"/>
        <w:bidi w:val="0"/>
        <w:snapToGrid/>
        <w:spacing w:line="560" w:lineRule="exact"/>
        <w:ind w:firstLine="640"/>
        <w:textAlignment w:val="auto"/>
        <w:rPr>
          <w:rFonts w:ascii="仿宋_GB2312"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bidi w:val="0"/>
        <w:snapToGrid/>
        <w:spacing w:line="560" w:lineRule="exact"/>
        <w:ind w:firstLine="640" w:firstLineChars="200"/>
        <w:jc w:val="left"/>
        <w:textAlignment w:val="auto"/>
        <w:rPr>
          <w:rFonts w:asci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lang w:eastAsia="zh-CN"/>
          <w14:textFill>
            <w14:solidFill>
              <w14:schemeClr w14:val="tx1"/>
            </w14:solidFill>
          </w14:textFill>
        </w:rPr>
        <w:t>联系人：</w:t>
      </w:r>
      <w:r>
        <w:rPr>
          <w:rFonts w:hint="eastAsia" w:ascii="仿宋_GB2312" w:eastAsia="仿宋_GB2312" w:cs="仿宋_GB2312"/>
          <w:color w:val="auto"/>
          <w:sz w:val="32"/>
          <w:szCs w:val="32"/>
          <w:lang w:val="en-US" w:eastAsia="zh-CN"/>
        </w:rPr>
        <w:t xml:space="preserve">赖 欣 </w:t>
      </w:r>
      <w:r>
        <w:rPr>
          <w:rFonts w:hint="eastAsia" w:ascii="仿宋_GB2312" w:eastAsia="仿宋_GB2312" w:cs="仿宋_GB2312"/>
          <w:color w:val="000000" w:themeColor="text1"/>
          <w:sz w:val="32"/>
          <w:szCs w:val="32"/>
          <w:lang w:val="en-US" w:eastAsia="zh-CN"/>
          <w14:textFill>
            <w14:solidFill>
              <w14:schemeClr w14:val="tx1"/>
            </w14:solidFill>
          </w14:textFill>
        </w:rPr>
        <w:t xml:space="preserve">    </w:t>
      </w:r>
      <w:bookmarkStart w:id="0" w:name="_GoBack"/>
      <w:bookmarkEnd w:id="0"/>
      <w:r>
        <w:rPr>
          <w:rFonts w:hint="eastAsia" w:ascii="仿宋_GB2312" w:eastAsia="仿宋_GB2312" w:cs="仿宋_GB2312"/>
          <w:color w:val="000000" w:themeColor="text1"/>
          <w:sz w:val="32"/>
          <w:szCs w:val="32"/>
          <w14:textFill>
            <w14:solidFill>
              <w14:schemeClr w14:val="tx1"/>
            </w14:solidFill>
          </w14:textFill>
        </w:rPr>
        <w:t>联系电话：</w:t>
      </w:r>
      <w:r>
        <w:rPr>
          <w:rFonts w:hint="eastAsia" w:ascii="仿宋_GB2312" w:eastAsia="仿宋_GB2312" w:cs="仿宋_GB2312"/>
          <w:color w:val="000000" w:themeColor="text1"/>
          <w:sz w:val="32"/>
          <w:szCs w:val="32"/>
          <w:lang w:val="en-US" w:eastAsia="zh-CN"/>
          <w14:textFill>
            <w14:solidFill>
              <w14:schemeClr w14:val="tx1"/>
            </w14:solidFill>
          </w14:textFill>
        </w:rPr>
        <w:t>8289161</w:t>
      </w:r>
      <w:r>
        <w:rPr>
          <w:rFonts w:asci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bidi w:val="0"/>
        <w:snapToGrid/>
        <w:spacing w:line="560" w:lineRule="exact"/>
        <w:ind w:firstLine="640" w:firstLineChars="200"/>
        <w:jc w:val="left"/>
        <w:textAlignment w:val="auto"/>
        <w:rPr>
          <w:rFonts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联系地址：三明市三元区沪明新村</w:t>
      </w:r>
      <w:r>
        <w:rPr>
          <w:rFonts w:ascii="仿宋_GB2312" w:eastAsia="仿宋_GB2312" w:cs="仿宋_GB2312"/>
          <w:color w:val="000000" w:themeColor="text1"/>
          <w:sz w:val="32"/>
          <w:szCs w:val="32"/>
          <w14:textFill>
            <w14:solidFill>
              <w14:schemeClr w14:val="tx1"/>
            </w14:solidFill>
          </w14:textFill>
        </w:rPr>
        <w:t>60</w:t>
      </w:r>
      <w:r>
        <w:rPr>
          <w:rFonts w:hint="eastAsia" w:ascii="仿宋_GB2312" w:eastAsia="仿宋_GB2312" w:cs="仿宋_GB2312"/>
          <w:color w:val="000000" w:themeColor="text1"/>
          <w:sz w:val="32"/>
          <w:szCs w:val="32"/>
          <w14:textFill>
            <w14:solidFill>
              <w14:schemeClr w14:val="tx1"/>
            </w14:solidFill>
          </w14:textFill>
        </w:rPr>
        <w:t>幢</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hAnsi="仿宋_GB2312" w:eastAsia="仿宋_GB2312" w:cs="Times New Roman"/>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hAnsi="仿宋_GB2312" w:eastAsia="仿宋_GB2312" w:cs="Times New Roman"/>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三明市市场监督管理局</w:t>
      </w:r>
    </w:p>
    <w:p>
      <w:pPr>
        <w:keepNext w:val="0"/>
        <w:keepLines w:val="0"/>
        <w:pageBreakBefore w:val="0"/>
        <w:widowControl w:val="0"/>
        <w:kinsoku/>
        <w:wordWrap/>
        <w:overflowPunct/>
        <w:topLinePunct w:val="0"/>
        <w:bidi w:val="0"/>
        <w:snapToGrid/>
        <w:spacing w:line="560" w:lineRule="exact"/>
        <w:ind w:firstLine="5440" w:firstLineChars="1700"/>
        <w:textAlignment w:val="auto"/>
      </w:pPr>
      <w:r>
        <w:rPr>
          <w:rFonts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bidi w:val="0"/>
        <w:snapToGrid/>
        <w:spacing w:line="560" w:lineRule="exact"/>
        <w:ind w:firstLine="3570" w:firstLineChars="1700"/>
        <w:textAlignment w:val="auto"/>
      </w:pPr>
    </w:p>
    <w:sectPr>
      <w:footerReference r:id="rId3" w:type="default"/>
      <w:pgSz w:w="11906" w:h="16838"/>
      <w:pgMar w:top="1383" w:right="1746" w:bottom="1383" w:left="174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0000000000000000000"/>
    <w:charset w:val="86"/>
    <w:family w:val="auto"/>
    <w:pitch w:val="default"/>
    <w:sig w:usb0="00000000" w:usb1="00000000" w:usb2="00000000" w:usb3="00000000" w:csb0="00000000"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ongolian Baiti">
    <w:altName w:val="DejaVu Math TeX Gyre"/>
    <w:panose1 w:val="03000500000000000000"/>
    <w:charset w:val="00"/>
    <w:family w:val="script"/>
    <w:pitch w:val="default"/>
    <w:sig w:usb0="00000000" w:usb1="00000000" w:usb2="00020000" w:usb3="00000000" w:csb0="00000001" w:csb1="00000000"/>
  </w:font>
  <w:font w:name="DejaVu Math TeX Gyre">
    <w:panose1 w:val="02000503000000000000"/>
    <w:charset w:val="00"/>
    <w:family w:val="auto"/>
    <w:pitch w:val="default"/>
    <w:sig w:usb0="A10000EF" w:usb1="4201F9EE" w:usb2="02000000" w:usb3="00000000" w:csb0="60000193" w:csb1="0DD40000"/>
  </w:font>
  <w:font w:name="Gulim">
    <w:altName w:val="Lohit Devanagari"/>
    <w:panose1 w:val="020B0600000101010101"/>
    <w:charset w:val="00"/>
    <w:family w:val="swiss"/>
    <w:pitch w:val="default"/>
    <w:sig w:usb0="00000000" w:usb1="00000000" w:usb2="00000030" w:usb3="00000000" w:csb0="4008009F" w:csb1="DFD7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Fonts w:hint="eastAsia" w:cs="宋体"/>
        <w:kern w:val="0"/>
      </w:rPr>
      <w:t>第</w:t>
    </w:r>
    <w:r>
      <w:rPr>
        <w:kern w:val="0"/>
      </w:rPr>
      <w:t xml:space="preserve"> </w:t>
    </w:r>
    <w:r>
      <w:rPr>
        <w:kern w:val="0"/>
      </w:rPr>
      <w:fldChar w:fldCharType="begin"/>
    </w:r>
    <w:r>
      <w:rPr>
        <w:kern w:val="0"/>
      </w:rPr>
      <w:instrText xml:space="preserve"> PAGE </w:instrText>
    </w:r>
    <w:r>
      <w:rPr>
        <w:kern w:val="0"/>
      </w:rPr>
      <w:fldChar w:fldCharType="separate"/>
    </w:r>
    <w:r>
      <w:rPr>
        <w:kern w:val="0"/>
      </w:rPr>
      <w:t>6</w:t>
    </w:r>
    <w:r>
      <w:rPr>
        <w:kern w:val="0"/>
      </w:rPr>
      <w:fldChar w:fldCharType="end"/>
    </w:r>
    <w:r>
      <w:rPr>
        <w:kern w:val="0"/>
      </w:rPr>
      <w:t xml:space="preserve"> </w:t>
    </w:r>
    <w:r>
      <w:rPr>
        <w:rFonts w:hint="eastAsia" w:cs="宋体"/>
        <w:kern w:val="0"/>
      </w:rPr>
      <w:t>页</w:t>
    </w:r>
    <w:r>
      <w:rPr>
        <w:kern w:val="0"/>
      </w:rPr>
      <w:t xml:space="preserve"> </w:t>
    </w:r>
    <w:r>
      <w:rPr>
        <w:rFonts w:hint="eastAsia" w:cs="宋体"/>
        <w:kern w:val="0"/>
      </w:rPr>
      <w:t>共</w:t>
    </w:r>
    <w:r>
      <w:rPr>
        <w:kern w:val="0"/>
      </w:rPr>
      <w:t xml:space="preserve"> </w:t>
    </w:r>
    <w:r>
      <w:rPr>
        <w:kern w:val="0"/>
      </w:rPr>
      <w:fldChar w:fldCharType="begin"/>
    </w:r>
    <w:r>
      <w:rPr>
        <w:kern w:val="0"/>
      </w:rPr>
      <w:instrText xml:space="preserve"> NUMPAGES </w:instrText>
    </w:r>
    <w:r>
      <w:rPr>
        <w:kern w:val="0"/>
      </w:rPr>
      <w:fldChar w:fldCharType="separate"/>
    </w:r>
    <w:r>
      <w:rPr>
        <w:kern w:val="0"/>
      </w:rPr>
      <w:t>6</w:t>
    </w:r>
    <w:r>
      <w:rPr>
        <w:kern w:val="0"/>
      </w:rPr>
      <w:fldChar w:fldCharType="end"/>
    </w:r>
    <w:r>
      <w:rPr>
        <w:kern w:val="0"/>
      </w:rPr>
      <w:t xml:space="preserve"> </w:t>
    </w:r>
    <w:r>
      <w:rPr>
        <w:rFonts w:hint="eastAsia" w:cs="宋体"/>
        <w:kern w:val="0"/>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17C"/>
    <w:rsid w:val="0019693A"/>
    <w:rsid w:val="0025017C"/>
    <w:rsid w:val="002B43C7"/>
    <w:rsid w:val="00883B28"/>
    <w:rsid w:val="0B7D8EF4"/>
    <w:rsid w:val="0EE775BF"/>
    <w:rsid w:val="17674192"/>
    <w:rsid w:val="1BD3C3BB"/>
    <w:rsid w:val="1DEF37A5"/>
    <w:rsid w:val="1FE964EF"/>
    <w:rsid w:val="1FFCC03E"/>
    <w:rsid w:val="24EF5CD6"/>
    <w:rsid w:val="2EF2BBD7"/>
    <w:rsid w:val="2FD994BF"/>
    <w:rsid w:val="2FDF43C3"/>
    <w:rsid w:val="2FFD8271"/>
    <w:rsid w:val="32FF70DE"/>
    <w:rsid w:val="35CA1CC3"/>
    <w:rsid w:val="3779F363"/>
    <w:rsid w:val="377D6EA6"/>
    <w:rsid w:val="37BF5E50"/>
    <w:rsid w:val="37FE8256"/>
    <w:rsid w:val="39CB7170"/>
    <w:rsid w:val="3B5F8EA6"/>
    <w:rsid w:val="3BFFB3D0"/>
    <w:rsid w:val="3BFFBC71"/>
    <w:rsid w:val="3D35B31B"/>
    <w:rsid w:val="3DCFECCF"/>
    <w:rsid w:val="3DDB13EE"/>
    <w:rsid w:val="3DFF1B48"/>
    <w:rsid w:val="3EC9901B"/>
    <w:rsid w:val="3F3FBFBF"/>
    <w:rsid w:val="3FBAC70F"/>
    <w:rsid w:val="3FBB1D7C"/>
    <w:rsid w:val="3FBB39FC"/>
    <w:rsid w:val="3FBD0920"/>
    <w:rsid w:val="3FBFACA4"/>
    <w:rsid w:val="3FEFD1C7"/>
    <w:rsid w:val="3FFD8202"/>
    <w:rsid w:val="41FF5EDA"/>
    <w:rsid w:val="44E5A03B"/>
    <w:rsid w:val="4B6D68FA"/>
    <w:rsid w:val="4C7BAEA4"/>
    <w:rsid w:val="4DCFD2C8"/>
    <w:rsid w:val="4E2212A3"/>
    <w:rsid w:val="4F6E88C2"/>
    <w:rsid w:val="4FE72E7A"/>
    <w:rsid w:val="4FEBF251"/>
    <w:rsid w:val="4FF3B2B5"/>
    <w:rsid w:val="539782E8"/>
    <w:rsid w:val="53F5186B"/>
    <w:rsid w:val="55AF6DC4"/>
    <w:rsid w:val="56DF4778"/>
    <w:rsid w:val="573B4E95"/>
    <w:rsid w:val="573FABA7"/>
    <w:rsid w:val="57FEACAF"/>
    <w:rsid w:val="597AD751"/>
    <w:rsid w:val="5A9E4741"/>
    <w:rsid w:val="5AFAE2BD"/>
    <w:rsid w:val="5B7D1B4F"/>
    <w:rsid w:val="5BEF6FA5"/>
    <w:rsid w:val="5BF7F37C"/>
    <w:rsid w:val="5C5EDDEC"/>
    <w:rsid w:val="5CBFD2CF"/>
    <w:rsid w:val="5DEA7F35"/>
    <w:rsid w:val="5F3D5E56"/>
    <w:rsid w:val="5F5FD4BF"/>
    <w:rsid w:val="5FBE2320"/>
    <w:rsid w:val="5FE76DFF"/>
    <w:rsid w:val="5FFFEB7D"/>
    <w:rsid w:val="65631F98"/>
    <w:rsid w:val="65FD61E4"/>
    <w:rsid w:val="66AB5989"/>
    <w:rsid w:val="67F7A244"/>
    <w:rsid w:val="689DFB48"/>
    <w:rsid w:val="6ABFF286"/>
    <w:rsid w:val="6AFED8A6"/>
    <w:rsid w:val="6B3300AD"/>
    <w:rsid w:val="6BFF0E6A"/>
    <w:rsid w:val="6BFFA005"/>
    <w:rsid w:val="6D75D387"/>
    <w:rsid w:val="6D973A52"/>
    <w:rsid w:val="6DC7342C"/>
    <w:rsid w:val="6DFE0F05"/>
    <w:rsid w:val="6DFF7E05"/>
    <w:rsid w:val="6EFF3CF6"/>
    <w:rsid w:val="6F3D0D33"/>
    <w:rsid w:val="6F6DA295"/>
    <w:rsid w:val="6F77D60A"/>
    <w:rsid w:val="6F9E76A4"/>
    <w:rsid w:val="6FDF01E7"/>
    <w:rsid w:val="6FEBCBB9"/>
    <w:rsid w:val="6FEE76BA"/>
    <w:rsid w:val="6FFFE746"/>
    <w:rsid w:val="727B4F02"/>
    <w:rsid w:val="73FF05E8"/>
    <w:rsid w:val="74BD575F"/>
    <w:rsid w:val="74FFB0EC"/>
    <w:rsid w:val="757B55E4"/>
    <w:rsid w:val="757FA288"/>
    <w:rsid w:val="75CB9EA1"/>
    <w:rsid w:val="75EB36BD"/>
    <w:rsid w:val="76C501F0"/>
    <w:rsid w:val="76E71869"/>
    <w:rsid w:val="7714B938"/>
    <w:rsid w:val="7733F4BE"/>
    <w:rsid w:val="7757BC40"/>
    <w:rsid w:val="777D3D54"/>
    <w:rsid w:val="777E88F4"/>
    <w:rsid w:val="77AC00DF"/>
    <w:rsid w:val="77DB8436"/>
    <w:rsid w:val="77FAC2F1"/>
    <w:rsid w:val="77FB7A02"/>
    <w:rsid w:val="77FC8F77"/>
    <w:rsid w:val="78FC22BE"/>
    <w:rsid w:val="797DFD1D"/>
    <w:rsid w:val="79FF6E3B"/>
    <w:rsid w:val="79FFB39F"/>
    <w:rsid w:val="7A4F1F51"/>
    <w:rsid w:val="7AD7483A"/>
    <w:rsid w:val="7AE2FABF"/>
    <w:rsid w:val="7AFE5CE3"/>
    <w:rsid w:val="7B7F628A"/>
    <w:rsid w:val="7B9BA736"/>
    <w:rsid w:val="7BBE404C"/>
    <w:rsid w:val="7BC711F2"/>
    <w:rsid w:val="7BD78E53"/>
    <w:rsid w:val="7BEF3A0C"/>
    <w:rsid w:val="7BF6AB67"/>
    <w:rsid w:val="7BFB09FD"/>
    <w:rsid w:val="7BFF67C3"/>
    <w:rsid w:val="7C998AAF"/>
    <w:rsid w:val="7CEF3AE6"/>
    <w:rsid w:val="7D57A0CB"/>
    <w:rsid w:val="7DB45CAD"/>
    <w:rsid w:val="7DBE8C10"/>
    <w:rsid w:val="7DFDFEB9"/>
    <w:rsid w:val="7E5FAC26"/>
    <w:rsid w:val="7E8F7BB1"/>
    <w:rsid w:val="7EFB88FB"/>
    <w:rsid w:val="7EFEBB4F"/>
    <w:rsid w:val="7EFF46DF"/>
    <w:rsid w:val="7F13898D"/>
    <w:rsid w:val="7F392A88"/>
    <w:rsid w:val="7F4EEBAA"/>
    <w:rsid w:val="7F569062"/>
    <w:rsid w:val="7F6F7D68"/>
    <w:rsid w:val="7F740492"/>
    <w:rsid w:val="7FAA4B4E"/>
    <w:rsid w:val="7FB4F2FC"/>
    <w:rsid w:val="7FBF89E0"/>
    <w:rsid w:val="7FD58421"/>
    <w:rsid w:val="7FD7949F"/>
    <w:rsid w:val="7FDB5309"/>
    <w:rsid w:val="7FDD81A6"/>
    <w:rsid w:val="7FDFDFB4"/>
    <w:rsid w:val="7FDFE14C"/>
    <w:rsid w:val="7FEA7A67"/>
    <w:rsid w:val="7FEBCC3A"/>
    <w:rsid w:val="7FEEE324"/>
    <w:rsid w:val="7FEF7DF9"/>
    <w:rsid w:val="7FF490A9"/>
    <w:rsid w:val="7FF75138"/>
    <w:rsid w:val="7FFE1260"/>
    <w:rsid w:val="7FFE9C0B"/>
    <w:rsid w:val="7FFF00A6"/>
    <w:rsid w:val="7FFFCE12"/>
    <w:rsid w:val="7FFFFEC8"/>
    <w:rsid w:val="8FCFA245"/>
    <w:rsid w:val="8FF31BB8"/>
    <w:rsid w:val="97F7EAB3"/>
    <w:rsid w:val="9BFD0748"/>
    <w:rsid w:val="9EBF0174"/>
    <w:rsid w:val="9FFD745B"/>
    <w:rsid w:val="A8DE5919"/>
    <w:rsid w:val="ABEFC61E"/>
    <w:rsid w:val="AD7F0F84"/>
    <w:rsid w:val="AE7830BA"/>
    <w:rsid w:val="AEBB1C9F"/>
    <w:rsid w:val="AEFF074C"/>
    <w:rsid w:val="AFBD4CDA"/>
    <w:rsid w:val="B0EFE593"/>
    <w:rsid w:val="B2F7533C"/>
    <w:rsid w:val="B5BC33C9"/>
    <w:rsid w:val="B7833D87"/>
    <w:rsid w:val="B7EF3CAC"/>
    <w:rsid w:val="B7F69082"/>
    <w:rsid w:val="B7FE7AEA"/>
    <w:rsid w:val="B9A29F28"/>
    <w:rsid w:val="BAB524DC"/>
    <w:rsid w:val="BB63DFB9"/>
    <w:rsid w:val="BDCFE845"/>
    <w:rsid w:val="BDFEA603"/>
    <w:rsid w:val="BF7F9D89"/>
    <w:rsid w:val="BFFFAE62"/>
    <w:rsid w:val="C54D3C09"/>
    <w:rsid w:val="C7F6C1FC"/>
    <w:rsid w:val="CA5779E4"/>
    <w:rsid w:val="CBCD00EA"/>
    <w:rsid w:val="CBF53B97"/>
    <w:rsid w:val="CFBA8F9A"/>
    <w:rsid w:val="CFFB8B86"/>
    <w:rsid w:val="CFFD1489"/>
    <w:rsid w:val="D1C986AC"/>
    <w:rsid w:val="D3CFCAB8"/>
    <w:rsid w:val="D3FF9A48"/>
    <w:rsid w:val="D5B70FC4"/>
    <w:rsid w:val="D6470864"/>
    <w:rsid w:val="D6FE60DA"/>
    <w:rsid w:val="D71EEC98"/>
    <w:rsid w:val="D7B695A0"/>
    <w:rsid w:val="D9CB4683"/>
    <w:rsid w:val="DA759945"/>
    <w:rsid w:val="DAF3BBA0"/>
    <w:rsid w:val="DB5776B8"/>
    <w:rsid w:val="DBBFD125"/>
    <w:rsid w:val="DBD71BE2"/>
    <w:rsid w:val="DBFFD90B"/>
    <w:rsid w:val="DDF3412C"/>
    <w:rsid w:val="DDF765E5"/>
    <w:rsid w:val="DDFD0C57"/>
    <w:rsid w:val="DECE6AE6"/>
    <w:rsid w:val="DEEAC534"/>
    <w:rsid w:val="DEF47CDF"/>
    <w:rsid w:val="DEF564B9"/>
    <w:rsid w:val="DF6F7FCF"/>
    <w:rsid w:val="DF928DA3"/>
    <w:rsid w:val="DFAD6EE4"/>
    <w:rsid w:val="DFF738D1"/>
    <w:rsid w:val="DFFE9348"/>
    <w:rsid w:val="DFFFEE43"/>
    <w:rsid w:val="E31597F6"/>
    <w:rsid w:val="E3E70416"/>
    <w:rsid w:val="E6DF72B4"/>
    <w:rsid w:val="E72B6BF9"/>
    <w:rsid w:val="E76BC949"/>
    <w:rsid w:val="E7A875F4"/>
    <w:rsid w:val="E7EB9E7E"/>
    <w:rsid w:val="E7F11BBA"/>
    <w:rsid w:val="E7FF8A02"/>
    <w:rsid w:val="EB1D4655"/>
    <w:rsid w:val="EB1F537D"/>
    <w:rsid w:val="EB6B8859"/>
    <w:rsid w:val="EBDB1B28"/>
    <w:rsid w:val="EBF69D17"/>
    <w:rsid w:val="EDB9E1C2"/>
    <w:rsid w:val="EDC767EB"/>
    <w:rsid w:val="EDFD8029"/>
    <w:rsid w:val="EE2F5F35"/>
    <w:rsid w:val="EEDFBD24"/>
    <w:rsid w:val="EEE32C99"/>
    <w:rsid w:val="EEEE9F91"/>
    <w:rsid w:val="EF5D8ACA"/>
    <w:rsid w:val="EF758FE8"/>
    <w:rsid w:val="EF9F5AB5"/>
    <w:rsid w:val="EFE7DA5D"/>
    <w:rsid w:val="EFF7289B"/>
    <w:rsid w:val="F1FB93E3"/>
    <w:rsid w:val="F26BDAFD"/>
    <w:rsid w:val="F35E59D6"/>
    <w:rsid w:val="F3B8ED41"/>
    <w:rsid w:val="F3D8C459"/>
    <w:rsid w:val="F3F9D848"/>
    <w:rsid w:val="F49E5ADF"/>
    <w:rsid w:val="F4DF3B3E"/>
    <w:rsid w:val="F66BD08E"/>
    <w:rsid w:val="F6EB6590"/>
    <w:rsid w:val="F76FD86D"/>
    <w:rsid w:val="F77FC86B"/>
    <w:rsid w:val="F7AD60C3"/>
    <w:rsid w:val="F7BDB18B"/>
    <w:rsid w:val="F7CE7667"/>
    <w:rsid w:val="F7FB773E"/>
    <w:rsid w:val="F7FE017F"/>
    <w:rsid w:val="F7FFE408"/>
    <w:rsid w:val="F97634DD"/>
    <w:rsid w:val="F97DC972"/>
    <w:rsid w:val="F9EF9EA7"/>
    <w:rsid w:val="F9EFE7B9"/>
    <w:rsid w:val="FA4F2BA7"/>
    <w:rsid w:val="FA6F4B74"/>
    <w:rsid w:val="FA9BCC36"/>
    <w:rsid w:val="FAC424BB"/>
    <w:rsid w:val="FAD36230"/>
    <w:rsid w:val="FAFB84E1"/>
    <w:rsid w:val="FB07C935"/>
    <w:rsid w:val="FB1F48E6"/>
    <w:rsid w:val="FB71EDDD"/>
    <w:rsid w:val="FB72A9B3"/>
    <w:rsid w:val="FB95A88D"/>
    <w:rsid w:val="FBBFE992"/>
    <w:rsid w:val="FBDD2EC3"/>
    <w:rsid w:val="FBFB5EBA"/>
    <w:rsid w:val="FBFD4915"/>
    <w:rsid w:val="FCAF432B"/>
    <w:rsid w:val="FCBF26D0"/>
    <w:rsid w:val="FCCFEA51"/>
    <w:rsid w:val="FD5DC8D8"/>
    <w:rsid w:val="FDBB4B05"/>
    <w:rsid w:val="FDBEA491"/>
    <w:rsid w:val="FDC161B8"/>
    <w:rsid w:val="FDDB71F8"/>
    <w:rsid w:val="FDFF0A04"/>
    <w:rsid w:val="FE7580C7"/>
    <w:rsid w:val="FE7BD2FF"/>
    <w:rsid w:val="FE836C30"/>
    <w:rsid w:val="FE8B9C71"/>
    <w:rsid w:val="FEE55B3A"/>
    <w:rsid w:val="FEF678D8"/>
    <w:rsid w:val="FEFD8B29"/>
    <w:rsid w:val="FF23C215"/>
    <w:rsid w:val="FF3347D1"/>
    <w:rsid w:val="FF3F046F"/>
    <w:rsid w:val="FF3FE583"/>
    <w:rsid w:val="FF71A985"/>
    <w:rsid w:val="FF7A5FC9"/>
    <w:rsid w:val="FF9FD7FB"/>
    <w:rsid w:val="FFA57418"/>
    <w:rsid w:val="FFA72006"/>
    <w:rsid w:val="FFB5C7CA"/>
    <w:rsid w:val="FFBBA789"/>
    <w:rsid w:val="FFBF1D9C"/>
    <w:rsid w:val="FFCD1682"/>
    <w:rsid w:val="FFDA8762"/>
    <w:rsid w:val="FFDE459D"/>
    <w:rsid w:val="FFDF424E"/>
    <w:rsid w:val="FFE33C2D"/>
    <w:rsid w:val="FFEACB08"/>
    <w:rsid w:val="FFEB95E8"/>
    <w:rsid w:val="FFEFF748"/>
    <w:rsid w:val="FFF35D4C"/>
    <w:rsid w:val="FFF46B06"/>
    <w:rsid w:val="FFF93D23"/>
    <w:rsid w:val="FFFBA83C"/>
    <w:rsid w:val="FFFF16BC"/>
    <w:rsid w:val="FFFF6325"/>
    <w:rsid w:val="FFFF9525"/>
    <w:rsid w:val="FFFFC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751</Words>
  <Characters>4285</Characters>
  <Lines>35</Lines>
  <Paragraphs>10</Paragraphs>
  <TotalTime>0</TotalTime>
  <ScaleCrop>false</ScaleCrop>
  <LinksUpToDate>false</LinksUpToDate>
  <CharactersWithSpaces>5026</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2024-09-12T10:45:00Z</dcterms:created>
  <dc:creator>China</dc:creator>
  <cp:lastModifiedBy>赖欣</cp:lastModifiedBy>
  <cp:lastPrinted>2024-09-15T01:27:00Z</cp:lastPrinted>
  <dcterms:modified xsi:type="dcterms:W3CDTF">2026-08-06T14:11:44Z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B8F522901983C96B5ED7D6663539FBC7</vt:lpwstr>
  </property>
</Properties>
</file>