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39" w:rsidRDefault="00690239" w:rsidP="00690239">
      <w:pPr>
        <w:overflowPunct w:val="0"/>
        <w:adjustRightInd w:val="0"/>
        <w:snapToGrid w:val="0"/>
        <w:spacing w:line="560" w:lineRule="exact"/>
        <w:textAlignment w:val="baseline"/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0"/>
          <w:sz w:val="32"/>
          <w:szCs w:val="32"/>
        </w:rPr>
        <w:t>附件2</w:t>
      </w:r>
    </w:p>
    <w:p w:rsidR="00690239" w:rsidRDefault="00690239" w:rsidP="00690239">
      <w:pPr>
        <w:overflowPunct w:val="0"/>
        <w:adjustRightInd w:val="0"/>
        <w:snapToGrid w:val="0"/>
        <w:spacing w:line="560" w:lineRule="exact"/>
        <w:rPr>
          <w:sz w:val="24"/>
        </w:rPr>
      </w:pPr>
    </w:p>
    <w:p w:rsidR="00690239" w:rsidRDefault="00690239" w:rsidP="00690239">
      <w:pPr>
        <w:overflowPunct w:val="0"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9"/>
          <w:position w:val="3"/>
          <w:sz w:val="44"/>
          <w:szCs w:val="44"/>
        </w:rPr>
        <w:t>重点评估和</w:t>
      </w:r>
      <w:bookmarkStart w:id="0" w:name="_GoBack"/>
      <w:bookmarkEnd w:id="0"/>
      <w:proofErr w:type="gramStart"/>
      <w:r>
        <w:rPr>
          <w:rFonts w:eastAsia="方正小标宋简体"/>
          <w:spacing w:val="9"/>
          <w:position w:val="3"/>
          <w:sz w:val="44"/>
          <w:szCs w:val="44"/>
        </w:rPr>
        <w:t>实施省</w:t>
      </w:r>
      <w:proofErr w:type="gramEnd"/>
      <w:r>
        <w:rPr>
          <w:rFonts w:eastAsia="方正小标宋简体"/>
          <w:spacing w:val="9"/>
          <w:position w:val="3"/>
          <w:sz w:val="44"/>
          <w:szCs w:val="44"/>
        </w:rPr>
        <w:t>地方标准清单</w:t>
      </w:r>
    </w:p>
    <w:p w:rsidR="00690239" w:rsidRDefault="00690239" w:rsidP="00690239">
      <w:pPr>
        <w:overflowPunct w:val="0"/>
        <w:adjustRightInd w:val="0"/>
        <w:snapToGrid w:val="0"/>
        <w:spacing w:line="560" w:lineRule="exac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724"/>
        <w:gridCol w:w="1224"/>
        <w:gridCol w:w="2827"/>
        <w:gridCol w:w="1207"/>
        <w:gridCol w:w="1356"/>
      </w:tblGrid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在役超高压水晶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釜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超声检测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油气长输管道安装安全质量监督检验技术规范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城镇钢质燃气管道定期检验规程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土方机械结构应力测试方法通则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土方机械结构应力测试方法 轮胎式装载机车架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土方机械结构应力测试方法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装载机、挖掘机和挖掘装载机工作装置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61w～200w普通照明用分体式荧光灯及能效限定值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和</w:t>
            </w:r>
            <w:proofErr w:type="gramEnd"/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能效等级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工业锅炉水质节能维保安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全技术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钢铁联合企业单位产品能源消耗限额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碳酸饮料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塑料瓶耐内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压力和膨胀率试验方法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小型汽水两用锅炉安全管理规范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工业锅炉运行除垢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轮胎式块料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铲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装机试验方法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土方机械驱动桥 桥壳扭转疲劳试验方法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土方机械司机室振动噪声特性的测试方法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汽车加油站防雷装置检测技术规范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铝及铝合金板带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材单位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产品能源消耗限额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成鞋水汽渗透和水汽吸收试验方法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鞋类动态止滑性能试验方法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在用固定炉排燃煤锅炉简单能效测试与评价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机电类特种设备使用管理规范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承压类特种设备使用管理规范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在用点燃式发动机轻型汽车简易瞬态工况法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排气污染物排放限值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lang w:bidi="ar"/>
              </w:rPr>
              <w:t>在</w:t>
            </w:r>
            <w:proofErr w:type="gramStart"/>
            <w:r>
              <w:rPr>
                <w:snapToGrid w:val="0"/>
                <w:color w:val="000000"/>
                <w:kern w:val="0"/>
                <w:sz w:val="24"/>
                <w:lang w:bidi="ar"/>
              </w:rPr>
              <w:t>用压燃式</w:t>
            </w:r>
            <w:proofErr w:type="gramEnd"/>
            <w:r>
              <w:rPr>
                <w:snapToGrid w:val="0"/>
                <w:color w:val="000000"/>
                <w:kern w:val="0"/>
                <w:sz w:val="24"/>
                <w:lang w:bidi="ar"/>
              </w:rPr>
              <w:t>发动机汽车加载减速法排气烟度排放限值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snapToGrid w:val="0"/>
                <w:color w:val="000000"/>
                <w:kern w:val="0"/>
                <w:sz w:val="24"/>
                <w:lang w:bidi="ar"/>
              </w:rPr>
              <w:t>2024</w:t>
            </w:r>
            <w:r>
              <w:rPr>
                <w:snapToGrid w:val="0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制浆造纸工业水污染物排放标准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水泥工业大气污染物排放标准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曳引式电梯安全性能技术评估规程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电站锅炉节能监测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燃水煤浆工业锅炉能效限定值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发光二极管芯片点测方法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汽车维护工艺规范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福建省交通运输厅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电站锅炉外部检验规范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鞋带止滑性能试验方法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煤粉工业锅炉能效限定值及能效等级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工业锅炉表面散热损失红外热像测试方法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在用生物质锅炉能效简单测试方法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在用生物质锅炉能效简单测试方法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叉车属具旋转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夹试验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合成革与人造革工业污染治理工程技术规范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烟气换热器经济运行评定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土方机械结构应力测试方法 履带式推土机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平衡梁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轮胎式装载机路谱测量方法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基于RFID的车用气瓶数字化管理规范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汽车用液化天然气焊接绝热气瓶定期检验规则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燃气工业锅炉房安全规范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爆炸和火灾危险场所雷电灾害风险控制规范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鞋用弹性材料拉伸复原性试验方法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水泥单位产品能源消耗数据采集技术规范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电子商务交易产品信息描述规范 运动鞋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福建省商务厅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鞋用网眼布热老化试验方法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燃生物质成型燃料工业锅炉能效限定值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室内装饰装修材料 人造板及其制品中氨释放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量试验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福建省林业局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民用建筑物加装电梯雷电防护技术规范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氟化工行业废水和废气污染治理工程技术规范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电子商务交易产品信息描述规范日用陶瓷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福建省商务厅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港口大型起重机械技术性能评估规范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普通照明光闪烁测试方法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有机热载体锅炉及系统清洗技术规范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棉与氨纶混纺物定量分析方法98%甲酸法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土方机械静侧倾稳定性台架试验方法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大型游乐设施使用管理规范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燃气工业锅炉节能监测方法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自动气象站维护维修技术保障规范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燃油工业锅炉经济运行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燃煤工业锅炉经济运行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低压配电线路补偿装置检测技术规范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电力有限公司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空气和废气总挥发性有机物（TVOC）的测定冷冻浓缩/气相色谱-质谱法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LED显示模组能效等级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热电联产机组经济指标评价方法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工业锅炉热效率在线监测技术规范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脚型测量扫描分析法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足底压力分布测试方法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步态测试方法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工业企业挥发性有机物排放标准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工业涂装工序挥发性有机物排放标准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印刷行业挥发性有机物排放标准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纺织品 定量化学分析 聚噁二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唑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纤维与某些其他纤维的混合物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塑料制品中短链氯化石蜡含量的测定 气相色谱法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皮革材质鉴别试验方法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土方机械现场工况检测通用技术规范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塑料包装材料中致癌染料的测定液相色谱-串联质谱法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垃圾焚烧发电锅炉内部检验规范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剩余电流动作保护器检测规程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电力有限公司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城市轨道交通信号系统防雷装置检测技术规范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机电类特种设备安装、改造、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修理自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检质量控制基本要求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塑料制品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中全氟辛酸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含量的测定气相色谱法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石油化工装置防雷检测技术规范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农村生活污水处理设施水污染物排放标准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煤矿企业防雷装置检测技术规范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红土镍矿不锈钢单位产品能源消耗评价指南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电化学储能系统火灾风险评价技术规程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福建省消防救援总队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β晶型聚丙烯管材和管件中β晶含量的测定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（X射线衍射法）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地面移动机器人视觉系统成像性能检测方法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特种设备使用安全风险分类分级标准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2"/>
                <w:szCs w:val="22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自动扶梯和自动人行道运行振动测量与评价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鞋类产品吸震回弹性能试验方法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防水拉链防水性能的检测和评价静水压法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LED显示屏现场测量方法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多层纤维布/聚氯乙烯中空复合材料气密性试验方法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柴油动力土方机械排气烟度测量方法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聚氨酯泡沫中14种有机磷酸酯类阻燃剂鉴定技术规程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燃香类产品燃烧后苯系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物分析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操作规程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电梯使用管理单位安全管理规则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Style w:val="font11"/>
                <w:snapToGrid w:val="0"/>
                <w:kern w:val="0"/>
                <w:sz w:val="24"/>
                <w:szCs w:val="24"/>
                <w:lang w:bidi="ar"/>
              </w:rPr>
              <w:t>海上风力发电</w:t>
            </w:r>
            <w:r>
              <w:rPr>
                <w:rStyle w:val="font21"/>
                <w:snapToGrid w:val="0"/>
                <w:kern w:val="0"/>
                <w:sz w:val="24"/>
                <w:lang w:bidi="ar"/>
              </w:rPr>
              <w:t>机组主轴系统检修技术要求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聚氯乙烯集成墙板室内安装服务规范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城市轨道交通综合监控系统网络安全实施要求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福建省发展改革委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锅炉用固体废弃物燃料性能评价规则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Style w:val="font11"/>
                <w:snapToGrid w:val="0"/>
                <w:kern w:val="0"/>
                <w:sz w:val="24"/>
                <w:szCs w:val="24"/>
                <w:lang w:bidi="ar"/>
              </w:rPr>
            </w:pPr>
            <w:r>
              <w:rPr>
                <w:rStyle w:val="font11"/>
                <w:snapToGrid w:val="0"/>
                <w:kern w:val="0"/>
                <w:sz w:val="24"/>
                <w:szCs w:val="24"/>
                <w:lang w:bidi="ar"/>
              </w:rPr>
              <w:t>工业园区</w:t>
            </w:r>
            <w:r>
              <w:rPr>
                <w:rStyle w:val="font21"/>
                <w:snapToGrid w:val="0"/>
                <w:kern w:val="0"/>
                <w:sz w:val="24"/>
                <w:lang w:bidi="ar"/>
              </w:rPr>
              <w:t>废旧高分子材料回收和资源利用技术准则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电梯维护保养与运行质量抽查技术准则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玻璃抗菌处理工艺要求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电梯远程监测技术规范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电线电缆护套材料中卤素含量的测算规范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紫外发光二极管测评方法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Style w:val="font11"/>
                <w:snapToGrid w:val="0"/>
                <w:kern w:val="0"/>
                <w:sz w:val="24"/>
                <w:szCs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无机类建筑废弃物现场处理准则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福建省住房和城乡建设厅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乌龙茶初加工设备维护保养技术规程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福建省农业农村厅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在用电动汽车动力电池系统性能评估规范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Style w:val="font11"/>
                <w:snapToGrid w:val="0"/>
                <w:kern w:val="0"/>
                <w:sz w:val="24"/>
                <w:szCs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自动扶梯与自动人行道安全性能技术评估规程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垃圾焚烧锅炉金属部件维护准则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集中空调冷热源系统能效评价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Style w:val="font11"/>
                <w:snapToGrid w:val="0"/>
                <w:kern w:val="0"/>
                <w:sz w:val="24"/>
                <w:szCs w:val="24"/>
                <w:lang w:bidi="ar"/>
              </w:rPr>
              <w:t>10kV</w:t>
            </w:r>
            <w:r>
              <w:rPr>
                <w:rStyle w:val="font21"/>
                <w:snapToGrid w:val="0"/>
                <w:kern w:val="0"/>
                <w:sz w:val="24"/>
                <w:lang w:bidi="ar"/>
              </w:rPr>
              <w:t>及以下电力用户业</w:t>
            </w:r>
            <w:proofErr w:type="gramStart"/>
            <w:r>
              <w:rPr>
                <w:rStyle w:val="font21"/>
                <w:snapToGrid w:val="0"/>
                <w:kern w:val="0"/>
                <w:sz w:val="24"/>
                <w:lang w:bidi="ar"/>
              </w:rPr>
              <w:t>扩工程</w:t>
            </w:r>
            <w:proofErr w:type="gramEnd"/>
            <w:r>
              <w:rPr>
                <w:rStyle w:val="font21"/>
                <w:snapToGrid w:val="0"/>
                <w:kern w:val="0"/>
                <w:sz w:val="24"/>
                <w:lang w:bidi="ar"/>
              </w:rPr>
              <w:t>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福建省发展改革委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eastAsia="黑体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eastAsia="黑体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在用货车油箱柴油采样规程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钙钛矿太阳电池转换效率测评规程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光储充检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电站在线监测数据传输要求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电梯附加电子及电气设备增设准则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循环利用</w:t>
            </w:r>
          </w:p>
        </w:tc>
      </w:tr>
      <w:tr w:rsidR="00690239" w:rsidTr="00A856FD">
        <w:trPr>
          <w:trHeight w:val="567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ascii="宋体" w:hAnsi="宋体" w:cs="宋体" w:hint="eastAsia"/>
                <w:snapToGrid w:val="0"/>
                <w:color w:val="000000"/>
                <w:spacing w:val="-6"/>
                <w:kern w:val="0"/>
                <w:sz w:val="24"/>
                <w:lang w:bidi="ar"/>
              </w:rPr>
              <w:t>于分布式光纤传感的跨江燃气管道运行监测技术规范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90239" w:rsidRDefault="00690239" w:rsidP="00A856FD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循环利用</w:t>
            </w:r>
          </w:p>
        </w:tc>
      </w:tr>
    </w:tbl>
    <w:p w:rsidR="00690239" w:rsidRDefault="00690239" w:rsidP="00690239">
      <w:pPr>
        <w:spacing w:line="600" w:lineRule="exact"/>
        <w:rPr>
          <w:rFonts w:ascii="仿宋_GB2312" w:eastAsia="仿宋_GB2312" w:hint="eastAsia"/>
          <w:sz w:val="32"/>
          <w:szCs w:val="32"/>
        </w:rPr>
        <w:sectPr w:rsidR="0069023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1701" w:bottom="1418" w:left="1701" w:header="851" w:footer="992" w:gutter="0"/>
          <w:cols w:space="720"/>
          <w:docGrid w:type="lines" w:linePitch="312" w:charSpace="21679"/>
        </w:sectPr>
      </w:pPr>
    </w:p>
    <w:p w:rsidR="00D51B0C" w:rsidRDefault="00D51B0C"/>
    <w:sectPr w:rsidR="00D51B0C" w:rsidSect="00690239">
      <w:pgSz w:w="16838" w:h="11906" w:orient="landscape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239">
    <w:pPr>
      <w:pStyle w:val="a5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000000" w:rsidRDefault="0069023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239">
    <w:pPr>
      <w:pStyle w:val="a5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4415" cy="230505"/>
              <wp:effectExtent l="0" t="0" r="381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90239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0.25pt;margin-top:0;width:81.45pt;height:18.1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" filled="f" stroked="f">
              <v:textbox style="mso-fit-shape-to-text:t" inset="0,0,0,0">
                <w:txbxContent>
                  <w:p w:rsidR="00000000" w:rsidRDefault="00690239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23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2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2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023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39"/>
    <w:rsid w:val="000416DC"/>
    <w:rsid w:val="00060B22"/>
    <w:rsid w:val="000E71F3"/>
    <w:rsid w:val="00105945"/>
    <w:rsid w:val="00167D0E"/>
    <w:rsid w:val="001D0497"/>
    <w:rsid w:val="001E62A6"/>
    <w:rsid w:val="002102FD"/>
    <w:rsid w:val="00213C25"/>
    <w:rsid w:val="003905BF"/>
    <w:rsid w:val="003C68B3"/>
    <w:rsid w:val="004040AC"/>
    <w:rsid w:val="00444CC9"/>
    <w:rsid w:val="00474B8C"/>
    <w:rsid w:val="004C534B"/>
    <w:rsid w:val="00690239"/>
    <w:rsid w:val="006D2D61"/>
    <w:rsid w:val="008F2CAA"/>
    <w:rsid w:val="00964E2C"/>
    <w:rsid w:val="0098174B"/>
    <w:rsid w:val="00AF5666"/>
    <w:rsid w:val="00B004DB"/>
    <w:rsid w:val="00B010D0"/>
    <w:rsid w:val="00B3796D"/>
    <w:rsid w:val="00B45543"/>
    <w:rsid w:val="00BA5FD7"/>
    <w:rsid w:val="00BE1CA7"/>
    <w:rsid w:val="00CA1C7D"/>
    <w:rsid w:val="00D3585D"/>
    <w:rsid w:val="00D51B0C"/>
    <w:rsid w:val="00DB55A1"/>
    <w:rsid w:val="00E4222B"/>
    <w:rsid w:val="00E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link w:val="Char"/>
    <w:qFormat/>
    <w:rsid w:val="00690239"/>
    <w:pPr>
      <w:widowControl w:val="0"/>
      <w:snapToGrid w:val="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尾注文本 Char"/>
    <w:basedOn w:val="a0"/>
    <w:link w:val="a3"/>
    <w:rsid w:val="00690239"/>
    <w:rPr>
      <w:rFonts w:ascii="Times New Roman" w:eastAsia="宋体" w:hAnsi="Times New Roman" w:cs="Times New Roman"/>
      <w:szCs w:val="24"/>
    </w:rPr>
  </w:style>
  <w:style w:type="paragraph" w:styleId="a4">
    <w:name w:val="Balloon Text"/>
    <w:next w:val="a3"/>
    <w:link w:val="Char0"/>
    <w:semiHidden/>
    <w:qFormat/>
    <w:rsid w:val="00690239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6902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69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9023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6902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69023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qFormat/>
    <w:rsid w:val="00690239"/>
    <w:pPr>
      <w:widowControl w:val="0"/>
      <w:spacing w:before="100" w:beforeAutospacing="1" w:after="100" w:afterAutospacing="1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Body Text"/>
    <w:basedOn w:val="a"/>
    <w:link w:val="Char3"/>
    <w:uiPriority w:val="99"/>
    <w:semiHidden/>
    <w:unhideWhenUsed/>
    <w:rsid w:val="00690239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rsid w:val="00690239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next w:val="a"/>
    <w:link w:val="Char4"/>
    <w:qFormat/>
    <w:rsid w:val="00690239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首行缩进 Char"/>
    <w:basedOn w:val="Char3"/>
    <w:link w:val="a9"/>
    <w:rsid w:val="00690239"/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690239"/>
  </w:style>
  <w:style w:type="character" w:customStyle="1" w:styleId="font11">
    <w:name w:val="font11"/>
    <w:qFormat/>
    <w:rsid w:val="0069023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GB2312">
    <w:name w:val="样式 仿宋_GB2312"/>
    <w:basedOn w:val="a0"/>
    <w:rsid w:val="00690239"/>
    <w:rPr>
      <w:rFonts w:ascii="仿宋_GB2312" w:eastAsia="仿宋_GB2312" w:hAnsi="仿宋_GB2312"/>
      <w:sz w:val="32"/>
    </w:rPr>
  </w:style>
  <w:style w:type="character" w:customStyle="1" w:styleId="font21">
    <w:name w:val="font21"/>
    <w:qFormat/>
    <w:rsid w:val="0069023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GB23121">
    <w:name w:val="样式 仿宋_GB23121"/>
    <w:basedOn w:val="a0"/>
    <w:rsid w:val="00690239"/>
    <w:rPr>
      <w:rFonts w:ascii="仿宋_GB2312" w:eastAsia="仿宋_GB2312" w:hAnsi="仿宋_GB2312"/>
      <w:sz w:val="32"/>
    </w:rPr>
  </w:style>
  <w:style w:type="paragraph" w:customStyle="1" w:styleId="ab">
    <w:name w:val="公文正文"/>
    <w:basedOn w:val="a"/>
    <w:rsid w:val="00690239"/>
    <w:rPr>
      <w:rFonts w:eastAsia="仿宋_GB2312"/>
      <w:sz w:val="32"/>
      <w:szCs w:val="30"/>
    </w:rPr>
  </w:style>
  <w:style w:type="paragraph" w:customStyle="1" w:styleId="TableText">
    <w:name w:val="Table Text"/>
    <w:semiHidden/>
    <w:qFormat/>
    <w:rsid w:val="00690239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link w:val="Char"/>
    <w:qFormat/>
    <w:rsid w:val="00690239"/>
    <w:pPr>
      <w:widowControl w:val="0"/>
      <w:snapToGrid w:val="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尾注文本 Char"/>
    <w:basedOn w:val="a0"/>
    <w:link w:val="a3"/>
    <w:rsid w:val="00690239"/>
    <w:rPr>
      <w:rFonts w:ascii="Times New Roman" w:eastAsia="宋体" w:hAnsi="Times New Roman" w:cs="Times New Roman"/>
      <w:szCs w:val="24"/>
    </w:rPr>
  </w:style>
  <w:style w:type="paragraph" w:styleId="a4">
    <w:name w:val="Balloon Text"/>
    <w:next w:val="a3"/>
    <w:link w:val="Char0"/>
    <w:semiHidden/>
    <w:qFormat/>
    <w:rsid w:val="00690239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69023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69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9023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rsid w:val="006902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69023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qFormat/>
    <w:rsid w:val="00690239"/>
    <w:pPr>
      <w:widowControl w:val="0"/>
      <w:spacing w:before="100" w:beforeAutospacing="1" w:after="100" w:afterAutospacing="1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Body Text"/>
    <w:basedOn w:val="a"/>
    <w:link w:val="Char3"/>
    <w:uiPriority w:val="99"/>
    <w:semiHidden/>
    <w:unhideWhenUsed/>
    <w:rsid w:val="00690239"/>
    <w:pPr>
      <w:spacing w:after="120"/>
    </w:pPr>
  </w:style>
  <w:style w:type="character" w:customStyle="1" w:styleId="Char3">
    <w:name w:val="正文文本 Char"/>
    <w:basedOn w:val="a0"/>
    <w:link w:val="a8"/>
    <w:uiPriority w:val="99"/>
    <w:semiHidden/>
    <w:rsid w:val="00690239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next w:val="a"/>
    <w:link w:val="Char4"/>
    <w:qFormat/>
    <w:rsid w:val="00690239"/>
    <w:pPr>
      <w:widowControl w:val="0"/>
      <w:spacing w:after="120"/>
      <w:ind w:firstLineChars="100" w:firstLine="42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首行缩进 Char"/>
    <w:basedOn w:val="Char3"/>
    <w:link w:val="a9"/>
    <w:rsid w:val="00690239"/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690239"/>
  </w:style>
  <w:style w:type="character" w:customStyle="1" w:styleId="font11">
    <w:name w:val="font11"/>
    <w:qFormat/>
    <w:rsid w:val="0069023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GB2312">
    <w:name w:val="样式 仿宋_GB2312"/>
    <w:basedOn w:val="a0"/>
    <w:rsid w:val="00690239"/>
    <w:rPr>
      <w:rFonts w:ascii="仿宋_GB2312" w:eastAsia="仿宋_GB2312" w:hAnsi="仿宋_GB2312"/>
      <w:sz w:val="32"/>
    </w:rPr>
  </w:style>
  <w:style w:type="character" w:customStyle="1" w:styleId="font21">
    <w:name w:val="font21"/>
    <w:qFormat/>
    <w:rsid w:val="0069023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GB23121">
    <w:name w:val="样式 仿宋_GB23121"/>
    <w:basedOn w:val="a0"/>
    <w:rsid w:val="00690239"/>
    <w:rPr>
      <w:rFonts w:ascii="仿宋_GB2312" w:eastAsia="仿宋_GB2312" w:hAnsi="仿宋_GB2312"/>
      <w:sz w:val="32"/>
    </w:rPr>
  </w:style>
  <w:style w:type="paragraph" w:customStyle="1" w:styleId="ab">
    <w:name w:val="公文正文"/>
    <w:basedOn w:val="a"/>
    <w:rsid w:val="00690239"/>
    <w:rPr>
      <w:rFonts w:eastAsia="仿宋_GB2312"/>
      <w:sz w:val="32"/>
      <w:szCs w:val="30"/>
    </w:rPr>
  </w:style>
  <w:style w:type="paragraph" w:customStyle="1" w:styleId="TableText">
    <w:name w:val="Table Text"/>
    <w:semiHidden/>
    <w:qFormat/>
    <w:rsid w:val="00690239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eastAsia="仿宋" w:hAnsi="仿宋" w:cs="仿宋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943</Words>
  <Characters>5378</Characters>
  <Application>Microsoft Office Word</Application>
  <DocSecurity>0</DocSecurity>
  <Lines>44</Lines>
  <Paragraphs>12</Paragraphs>
  <ScaleCrop>false</ScaleCrop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2024-08-05T02:59:00Z</dcterms:created>
  <dcterms:modified xsi:type="dcterms:W3CDTF">2024-08-05T03:00:00Z</dcterms:modified>
</cp:coreProperties>
</file>